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ECC69" w14:textId="4FBB8E7F" w:rsidR="00EF0A86" w:rsidRPr="00337CBE" w:rsidRDefault="00EF0A86" w:rsidP="00EF0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Universidad de Puerto Rico</w:t>
      </w:r>
    </w:p>
    <w:p w14:paraId="6B84CB75" w14:textId="77777777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Recinto de Río Piedras</w:t>
      </w:r>
    </w:p>
    <w:p w14:paraId="607E3652" w14:textId="6A98F793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Facultad de </w:t>
      </w:r>
      <w:r w:rsidR="00A6153C" w:rsidRPr="00337CBE">
        <w:rPr>
          <w:rFonts w:ascii="Arial" w:hAnsi="Arial" w:cs="Arial"/>
          <w:b/>
          <w:sz w:val="24"/>
          <w:szCs w:val="24"/>
        </w:rPr>
        <w:t>Administraci</w:t>
      </w:r>
      <w:r w:rsidR="00BC09BF" w:rsidRPr="00337CBE">
        <w:rPr>
          <w:rFonts w:ascii="Arial" w:hAnsi="Arial" w:cs="Arial"/>
          <w:b/>
          <w:sz w:val="24"/>
          <w:szCs w:val="24"/>
        </w:rPr>
        <w:t>ó</w:t>
      </w:r>
      <w:r w:rsidR="00A6153C" w:rsidRPr="00337CBE">
        <w:rPr>
          <w:rFonts w:ascii="Arial" w:hAnsi="Arial" w:cs="Arial"/>
          <w:b/>
          <w:sz w:val="24"/>
          <w:szCs w:val="24"/>
        </w:rPr>
        <w:t>n de Empresas</w:t>
      </w:r>
    </w:p>
    <w:p w14:paraId="64F6DA81" w14:textId="31A296C0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Departamento de </w:t>
      </w:r>
      <w:r w:rsidR="00A6153C" w:rsidRPr="00337CBE">
        <w:rPr>
          <w:rFonts w:ascii="Arial" w:hAnsi="Arial" w:cs="Arial"/>
          <w:b/>
          <w:sz w:val="24"/>
          <w:szCs w:val="24"/>
        </w:rPr>
        <w:t>Contabilidad</w:t>
      </w:r>
    </w:p>
    <w:p w14:paraId="6D296439" w14:textId="55EAFCF3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32478849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60"/>
        <w:gridCol w:w="7017"/>
      </w:tblGrid>
      <w:tr w:rsidR="00863F31" w:rsidRPr="00AC17BB" w14:paraId="67AE9F05" w14:textId="2DA9243B" w:rsidTr="00C2066C">
        <w:trPr>
          <w:trHeight w:val="44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4B15" w14:textId="77777777" w:rsidR="00863F31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  <w:p w14:paraId="421D1490" w14:textId="7D7C8E69" w:rsidR="00054171" w:rsidRPr="00AC17BB" w:rsidRDefault="0005417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A9C6" w14:textId="4C7D1280" w:rsidR="00863F31" w:rsidRPr="00337CBE" w:rsidRDefault="00863F31" w:rsidP="00863F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7CBE">
              <w:rPr>
                <w:rFonts w:ascii="Arial" w:hAnsi="Arial" w:cs="Arial"/>
                <w:b/>
                <w:sz w:val="24"/>
                <w:szCs w:val="24"/>
              </w:rPr>
              <w:t>Filosofía, Teoría y Problemas de Contabilidad Financiera I</w:t>
            </w:r>
            <w:r w:rsidR="00C2066C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337CB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863F31" w:rsidRPr="00AC17BB" w14:paraId="5BE4DA62" w14:textId="3B80EF91" w:rsidTr="00C2066C">
        <w:trPr>
          <w:trHeight w:val="46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02E3" w14:textId="77777777" w:rsidR="00863F31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  <w:p w14:paraId="31177FF3" w14:textId="713C0E14" w:rsidR="00054171" w:rsidRPr="00AC17BB" w:rsidRDefault="0005417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50F6" w14:textId="32AC3D45" w:rsidR="00863F31" w:rsidRPr="00337CBE" w:rsidRDefault="00863F31" w:rsidP="00863F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CONT 400</w:t>
            </w:r>
            <w:r w:rsidR="00C2066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863F31" w:rsidRPr="00AC17BB" w14:paraId="6F9BD5E9" w14:textId="4EF5CB8D" w:rsidTr="00C2066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B394" w14:textId="77777777" w:rsidR="00863F31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  <w:p w14:paraId="759ACAB9" w14:textId="55408A19" w:rsidR="00054171" w:rsidRPr="00AC17BB" w:rsidRDefault="0005417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C66D" w14:textId="585AA635" w:rsidR="00863F31" w:rsidRPr="00337CBE" w:rsidRDefault="00863F31" w:rsidP="00863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45 horas / Tres </w:t>
            </w: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créditos</w:t>
            </w:r>
          </w:p>
        </w:tc>
      </w:tr>
      <w:tr w:rsidR="00863F31" w:rsidRPr="00AC17BB" w14:paraId="608A28B1" w14:textId="6E5F1425" w:rsidTr="00C2066C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036F" w14:textId="77777777" w:rsidR="00863F31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  <w:p w14:paraId="486A4002" w14:textId="3C6FBB44" w:rsidR="00054171" w:rsidRPr="00AC17BB" w:rsidRDefault="0005417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B365" w14:textId="6E44F1E9" w:rsidR="00863F31" w:rsidRPr="00337CBE" w:rsidRDefault="00C2066C" w:rsidP="00863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S"/>
              </w:rPr>
            </w:pPr>
            <w:r w:rsidRPr="00C2066C">
              <w:rPr>
                <w:rFonts w:ascii="Arial" w:eastAsia="Times New Roman" w:hAnsi="Arial" w:cs="Arial"/>
                <w:color w:val="000000"/>
                <w:sz w:val="24"/>
                <w:szCs w:val="24"/>
                <w:lang w:val="es-US"/>
              </w:rPr>
              <w:t>Filosofía, Teoría y Problemas de Contabilidad Financiera II (CONT 4002)</w:t>
            </w:r>
          </w:p>
        </w:tc>
      </w:tr>
      <w:tr w:rsidR="001F3A5F" w:rsidRPr="00AC17BB" w14:paraId="757BF4EB" w14:textId="73B30F84" w:rsidTr="00C2066C">
        <w:trPr>
          <w:trHeight w:val="42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3563" w14:textId="38F073D5" w:rsidR="001F3A5F" w:rsidRPr="00AC17BB" w:rsidRDefault="001F3A5F" w:rsidP="00863F31">
            <w:pPr>
              <w:spacing w:after="0" w:line="240" w:lineRule="auto"/>
              <w:ind w:right="-29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1F3A5F" w:rsidRPr="00AC17BB" w14:paraId="10C181E3" w14:textId="0D77E950" w:rsidTr="00C2066C">
        <w:trPr>
          <w:trHeight w:val="6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694B" w14:textId="406D3686" w:rsidR="001F3A5F" w:rsidRDefault="00C2066C" w:rsidP="00863F31">
            <w:pPr>
              <w:spacing w:after="0" w:line="240" w:lineRule="auto"/>
              <w:ind w:left="-5" w:right="3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C2066C">
              <w:rPr>
                <w:rFonts w:ascii="Arial" w:hAnsi="Arial" w:cs="Arial"/>
                <w:sz w:val="24"/>
                <w:szCs w:val="24"/>
              </w:rPr>
              <w:t>Discusión de las normas, los métodos y los procedimientos pertinentes a la preparación, registro, análisis y divulgación de información financiera relacionada con partidas y transacciones complejas. Análisis de las normas más recientes emitidas por los cuerpos rectores de la profesión y su impacto sobre los sistemas de información en contabilidad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Este curso se ofrecerá bajo las modalidades presencial, híbrida y </w:t>
            </w:r>
            <w:r w:rsidR="001F3A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en línea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38D17E22" w14:textId="77777777" w:rsidR="00054171" w:rsidRDefault="00054171" w:rsidP="00863F31">
            <w:pPr>
              <w:spacing w:after="0" w:line="240" w:lineRule="auto"/>
              <w:ind w:left="-5" w:right="39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4C3E6D71" w14:textId="4CCFF1B4" w:rsidR="00863F31" w:rsidRPr="00337CBE" w:rsidRDefault="00863F31" w:rsidP="00863F31">
            <w:pPr>
              <w:spacing w:after="0" w:line="240" w:lineRule="auto"/>
              <w:ind w:left="-5" w:right="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A5F" w:rsidRPr="00AC17BB" w14:paraId="2EF1828A" w14:textId="11F9578E" w:rsidTr="00C2066C">
        <w:trPr>
          <w:trHeight w:val="3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6BB1" w14:textId="77777777" w:rsidR="001F3A5F" w:rsidRDefault="001F3A5F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  <w:p w14:paraId="25A08B59" w14:textId="43DFB39D" w:rsidR="00054171" w:rsidRPr="00AC17BB" w:rsidRDefault="0005417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3A5F" w:rsidRPr="00AC17BB" w14:paraId="4F07650E" w14:textId="1B0EA7FB" w:rsidTr="00C2066C">
        <w:trPr>
          <w:trHeight w:val="70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5A74A" w14:textId="6F755638" w:rsidR="00054171" w:rsidRDefault="0078194E" w:rsidP="00C2066C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terminar el curso los estudiantes podrán:</w:t>
            </w:r>
          </w:p>
          <w:p w14:paraId="037987BA" w14:textId="77777777" w:rsidR="0078194E" w:rsidRPr="00C2066C" w:rsidRDefault="0078194E" w:rsidP="00C2066C">
            <w:p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F4ED4" w14:textId="685894E7" w:rsidR="00C2066C" w:rsidRPr="00C2066C" w:rsidRDefault="00C2066C" w:rsidP="00771C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6C">
              <w:rPr>
                <w:rFonts w:ascii="Arial" w:hAnsi="Arial" w:cs="Arial"/>
                <w:sz w:val="24"/>
                <w:szCs w:val="24"/>
              </w:rPr>
              <w:t xml:space="preserve">evaluar críticamente las normas o principios contables particulares al registro de transacciones diversas y a la preparación y divulgación de información financiera que puedan aplicar a escenarios nacionales e internacionales. </w:t>
            </w:r>
          </w:p>
          <w:p w14:paraId="49113C88" w14:textId="77777777" w:rsidR="00C2066C" w:rsidRDefault="00C2066C" w:rsidP="00C2066C">
            <w:pPr>
              <w:pStyle w:val="ListParagraph"/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9FDEE7" w14:textId="295553D0" w:rsidR="00C2066C" w:rsidRPr="00C2066C" w:rsidRDefault="00C2066C" w:rsidP="00771C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6C">
              <w:rPr>
                <w:rFonts w:ascii="Arial" w:hAnsi="Arial" w:cs="Arial"/>
                <w:sz w:val="24"/>
                <w:szCs w:val="24"/>
              </w:rPr>
              <w:t xml:space="preserve">discriminar entre lo que son y no son decisiones favorables desde el punto de vista ético de modo que aprendan a sostener un gran sentido de responsabilidad pública y profesional en la práctica de la contabilidad, </w:t>
            </w:r>
          </w:p>
          <w:p w14:paraId="3D370D20" w14:textId="77777777" w:rsidR="00C2066C" w:rsidRPr="00C2066C" w:rsidRDefault="00C2066C" w:rsidP="00C2066C">
            <w:pPr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F49DD" w14:textId="497D09A2" w:rsidR="00C2066C" w:rsidRPr="00C2066C" w:rsidRDefault="00C2066C" w:rsidP="00771C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6C">
              <w:rPr>
                <w:rFonts w:ascii="Arial" w:hAnsi="Arial" w:cs="Arial"/>
                <w:sz w:val="24"/>
                <w:szCs w:val="24"/>
              </w:rPr>
              <w:t>interactuar con otros compañeros en trabajos de equipo lo que les permitirá reconocer el valor de llegar a consensos cuando se enfrentan problemas no estructurados y situaciones complejas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3C15077" w14:textId="77777777" w:rsidR="00C2066C" w:rsidRPr="00C2066C" w:rsidRDefault="00C2066C" w:rsidP="00C2066C">
            <w:pPr>
              <w:pStyle w:val="ListParagraph"/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F8A1A" w14:textId="5CE77918" w:rsidR="00863F31" w:rsidRDefault="00C2066C" w:rsidP="00771C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066C">
              <w:rPr>
                <w:rFonts w:ascii="Arial" w:hAnsi="Arial" w:cs="Arial"/>
                <w:sz w:val="24"/>
                <w:szCs w:val="24"/>
              </w:rPr>
              <w:t>y consultar recursos bibliográficos electrónicos y bases de datos para realizar investigación en la disciplina.</w:t>
            </w:r>
            <w:r w:rsidR="001F3A5F" w:rsidRPr="007275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B1CF74" w14:textId="77777777" w:rsidR="00054171" w:rsidRPr="00054171" w:rsidRDefault="00054171" w:rsidP="0005417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4F0913" w14:textId="24FD1EB3" w:rsidR="00054171" w:rsidRPr="00863F31" w:rsidRDefault="00054171" w:rsidP="00054171">
            <w:pPr>
              <w:pStyle w:val="ListParagraph"/>
              <w:spacing w:after="0" w:line="240" w:lineRule="auto"/>
              <w:ind w:left="431" w:right="12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961C3" w14:textId="77777777" w:rsidR="00863F31" w:rsidRDefault="00863F31">
      <w:r>
        <w:br w:type="page"/>
      </w: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2760"/>
        <w:gridCol w:w="960"/>
        <w:gridCol w:w="570"/>
        <w:gridCol w:w="1530"/>
        <w:gridCol w:w="1530"/>
        <w:gridCol w:w="90"/>
      </w:tblGrid>
      <w:tr w:rsidR="001F3A5F" w:rsidRPr="00AC17BB" w14:paraId="04A1B002" w14:textId="1F1BDCEB" w:rsidTr="006B0B3F">
        <w:trPr>
          <w:gridAfter w:val="1"/>
          <w:wAfter w:w="90" w:type="dxa"/>
          <w:trHeight w:val="400"/>
        </w:trPr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F3FF" w14:textId="00E9B535" w:rsidR="001F3A5F" w:rsidRPr="00AC17BB" w:rsidRDefault="001F3A5F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1F3A5F" w:rsidRPr="00DD5397" w14:paraId="5FB575F6" w14:textId="3EFB4232" w:rsidTr="006B0B3F">
        <w:trPr>
          <w:gridAfter w:val="1"/>
          <w:wAfter w:w="90" w:type="dxa"/>
          <w:trHeight w:val="280"/>
        </w:trPr>
        <w:tc>
          <w:tcPr>
            <w:tcW w:w="6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1F3A5F" w:rsidRPr="00337CBE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59B8" w14:textId="2AB6BE6A" w:rsidR="001F3A5F" w:rsidRPr="00337CBE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Distribución del tiempo</w:t>
            </w:r>
          </w:p>
        </w:tc>
      </w:tr>
      <w:tr w:rsidR="00C2066C" w:rsidRPr="00AC17BB" w14:paraId="12071F84" w14:textId="28A9D4B7" w:rsidTr="006B0B3F">
        <w:trPr>
          <w:gridAfter w:val="1"/>
          <w:wAfter w:w="90" w:type="dxa"/>
          <w:trHeight w:val="280"/>
        </w:trPr>
        <w:tc>
          <w:tcPr>
            <w:tcW w:w="64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C2066C" w:rsidRPr="00AC17BB" w:rsidRDefault="00C2066C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B90" w14:textId="77777777" w:rsidR="00C2066C" w:rsidRPr="00337CBE" w:rsidRDefault="00C2066C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14:paraId="4589D687" w14:textId="2F319F97" w:rsidR="00C2066C" w:rsidRPr="00DD5397" w:rsidRDefault="00C2066C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P</w:t>
            </w: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resencial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4041B39E" w:rsidR="00C2066C" w:rsidRPr="00DD5397" w:rsidRDefault="00C2066C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4766" w14:textId="1381499B" w:rsidR="00C2066C" w:rsidRPr="00DD5397" w:rsidRDefault="00C2066C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D5397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En línea</w:t>
            </w:r>
          </w:p>
        </w:tc>
      </w:tr>
      <w:tr w:rsidR="00C2066C" w:rsidRPr="00AC17BB" w14:paraId="63D459A7" w14:textId="6D89E281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439" w14:textId="108C5310" w:rsidR="00C2066C" w:rsidRPr="00E86386" w:rsidRDefault="00C2066C" w:rsidP="00863F31">
            <w:pPr>
              <w:pStyle w:val="Default"/>
              <w:rPr>
                <w:b/>
                <w:lang w:val="es-US"/>
              </w:rPr>
            </w:pPr>
            <w:r w:rsidRPr="00E86386">
              <w:rPr>
                <w:b/>
                <w:lang w:val="es-US"/>
              </w:rPr>
              <w:t>I. INTRODUCCIÓN</w:t>
            </w:r>
          </w:p>
          <w:p w14:paraId="0B344B7B" w14:textId="106689A6" w:rsidR="00C2066C" w:rsidRPr="001F3A5F" w:rsidRDefault="00C2066C" w:rsidP="00863F31">
            <w:pPr>
              <w:pStyle w:val="Default"/>
              <w:rPr>
                <w:bCs/>
                <w:sz w:val="22"/>
                <w:szCs w:val="22"/>
                <w:lang w:val="es-US"/>
              </w:rPr>
            </w:pPr>
            <w:r w:rsidRPr="00E86386">
              <w:rPr>
                <w:b/>
                <w:lang w:val="es-US"/>
              </w:rPr>
              <w:t xml:space="preserve"> </w:t>
            </w:r>
            <w:r w:rsidRPr="001F3A5F">
              <w:rPr>
                <w:bCs/>
                <w:sz w:val="22"/>
                <w:szCs w:val="22"/>
                <w:lang w:val="es-US"/>
              </w:rPr>
              <w:t>A. Objetivos del curso</w:t>
            </w:r>
          </w:p>
          <w:p w14:paraId="54969E54" w14:textId="77777777" w:rsidR="00C2066C" w:rsidRPr="001F3A5F" w:rsidRDefault="00C2066C" w:rsidP="00863F31">
            <w:pPr>
              <w:pStyle w:val="Default"/>
              <w:rPr>
                <w:bCs/>
                <w:sz w:val="22"/>
                <w:szCs w:val="22"/>
                <w:lang w:val="es-PR"/>
              </w:rPr>
            </w:pPr>
            <w:r w:rsidRPr="001F3A5F">
              <w:rPr>
                <w:bCs/>
                <w:sz w:val="22"/>
                <w:szCs w:val="22"/>
                <w:lang w:val="es-US"/>
              </w:rPr>
              <w:t xml:space="preserve"> </w:t>
            </w:r>
            <w:r w:rsidRPr="001F3A5F">
              <w:rPr>
                <w:bCs/>
                <w:sz w:val="22"/>
                <w:szCs w:val="22"/>
                <w:lang w:val="es-PR"/>
              </w:rPr>
              <w:t>B. Requisitos del curso</w:t>
            </w:r>
          </w:p>
          <w:p w14:paraId="3650CCE4" w14:textId="46891117" w:rsidR="00C2066C" w:rsidRPr="00E86386" w:rsidRDefault="00C2066C" w:rsidP="00863F31">
            <w:pPr>
              <w:pStyle w:val="Default"/>
              <w:rPr>
                <w:rFonts w:ascii="Arial Narrow" w:hAnsi="Arial Narrow"/>
                <w:lang w:val="es-US"/>
              </w:rPr>
            </w:pPr>
            <w:r w:rsidRPr="001F3A5F">
              <w:rPr>
                <w:bCs/>
                <w:sz w:val="22"/>
                <w:szCs w:val="22"/>
                <w:lang w:val="es-US"/>
              </w:rPr>
              <w:t xml:space="preserve"> C. Normas y métodos de evaluación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D3E2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3248D4E9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A479CA0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D11AAC" w14:textId="10A318D7" w:rsidR="00C2066C" w:rsidRPr="00AC17BB" w:rsidRDefault="00C2066C" w:rsidP="00863F31">
            <w:pPr>
              <w:pStyle w:val="Default"/>
              <w:rPr>
                <w:rFonts w:ascii="Arial Narrow" w:hAnsi="Arial Narrow"/>
                <w:lang w:val="es-P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27AB41E" w:rsidR="00C2066C" w:rsidRPr="00AC17BB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1A9D5145" w14:textId="703C77BC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presenciales</w:t>
            </w:r>
          </w:p>
          <w:p w14:paraId="13B95AE3" w14:textId="5BFCB7F6" w:rsidR="00C2066C" w:rsidRPr="00AC17BB" w:rsidRDefault="00C2066C" w:rsidP="00863F31">
            <w:pPr>
              <w:pStyle w:val="Default"/>
              <w:ind w:left="78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196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5DC34F85" w14:textId="33F18020" w:rsidR="00C2066C" w:rsidRDefault="00C2066C" w:rsidP="00863F31">
            <w:pPr>
              <w:pStyle w:val="Default"/>
              <w:ind w:left="78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C2066C" w:rsidRPr="00AC17BB" w14:paraId="4DE23E31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7282" w14:textId="77777777" w:rsidR="00C2066C" w:rsidRDefault="00C2066C" w:rsidP="00C2066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 w:rsidRPr="00737B09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II.</w:t>
            </w:r>
            <w:r w:rsidRPr="00737B09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 w:rsidRPr="00C2066C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CONTABILIDAD PARA</w:t>
            </w:r>
            <w:r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PENSIONES</w:t>
            </w:r>
          </w:p>
          <w:p w14:paraId="483B73F7" w14:textId="77777777" w:rsidR="00EE540B" w:rsidRPr="00EE540B" w:rsidRDefault="00EE540B" w:rsidP="00771C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Definición de un plan de pensiones</w:t>
            </w:r>
          </w:p>
          <w:p w14:paraId="2BDCA073" w14:textId="77777777" w:rsidR="00EE540B" w:rsidRPr="00EE540B" w:rsidRDefault="00EE540B" w:rsidP="00771C9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Plan de beneficios definidos versus plan de aportaciones definidas</w:t>
            </w:r>
          </w:p>
          <w:p w14:paraId="4A042DD3" w14:textId="77777777" w:rsidR="00EE540B" w:rsidRPr="00EE540B" w:rsidRDefault="00EE540B" w:rsidP="00771C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Contabilidad para planes de pensiones de aportaciones definidas</w:t>
            </w:r>
          </w:p>
          <w:p w14:paraId="1D5ECD86" w14:textId="77777777" w:rsidR="00EE540B" w:rsidRPr="00EE540B" w:rsidRDefault="00EE540B" w:rsidP="00771C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Contabilidad para planes de pensiones de beneficios definidos</w:t>
            </w:r>
          </w:p>
          <w:p w14:paraId="58FF474C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 xml:space="preserve">Definición de la </w:t>
            </w:r>
            <w:proofErr w:type="gramStart"/>
            <w:r w:rsidRPr="00EE540B">
              <w:rPr>
                <w:rFonts w:ascii="Arial" w:hAnsi="Arial" w:cs="Arial"/>
                <w:bCs/>
              </w:rPr>
              <w:t>Obligación  por</w:t>
            </w:r>
            <w:proofErr w:type="gramEnd"/>
            <w:r w:rsidRPr="00EE540B">
              <w:rPr>
                <w:rFonts w:ascii="Arial" w:hAnsi="Arial" w:cs="Arial"/>
                <w:bCs/>
              </w:rPr>
              <w:t xml:space="preserve"> Beneficios Estimados(projected Benefit obligation)</w:t>
            </w:r>
          </w:p>
          <w:p w14:paraId="545F2299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Explicación de la hoja de trabajo de pensiones</w:t>
            </w:r>
          </w:p>
          <w:p w14:paraId="60BF2850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Cinco componentes del gasto de pensiones</w:t>
            </w:r>
          </w:p>
          <w:p w14:paraId="207A7203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Costo de interés</w:t>
            </w:r>
          </w:p>
          <w:p w14:paraId="1474949D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Rendimiento esperado de los activos</w:t>
            </w:r>
          </w:p>
          <w:p w14:paraId="5776155D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Ganancias o Pérdidas no realizadas</w:t>
            </w:r>
          </w:p>
          <w:p w14:paraId="681E71D1" w14:textId="77777777" w:rsidR="00EE540B" w:rsidRPr="00EE540B" w:rsidRDefault="00EE540B" w:rsidP="00771C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2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Diferencia entre el rendimiento esperado y el real</w:t>
            </w:r>
          </w:p>
          <w:p w14:paraId="73014161" w14:textId="77777777" w:rsidR="00EE540B" w:rsidRPr="00EE540B" w:rsidRDefault="00EE540B" w:rsidP="00771C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2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Cambios en los estimados actuariales</w:t>
            </w:r>
          </w:p>
          <w:p w14:paraId="12361A01" w14:textId="77777777" w:rsidR="00EE540B" w:rsidRPr="00EE540B" w:rsidRDefault="00EE540B" w:rsidP="00771C9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42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Amortización de las Ganancias y Pérdidas (corredor)</w:t>
            </w:r>
          </w:p>
          <w:p w14:paraId="40906444" w14:textId="77777777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Enmiendas retroactivas al plan de pensiones</w:t>
            </w:r>
          </w:p>
          <w:p w14:paraId="7E635E9D" w14:textId="77777777" w:rsidR="00EE540B" w:rsidRPr="00EE540B" w:rsidRDefault="00EE540B" w:rsidP="00771C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 xml:space="preserve">Amortización del costo de servicio de periodos anteriores </w:t>
            </w:r>
          </w:p>
          <w:p w14:paraId="4531AC0A" w14:textId="77777777" w:rsidR="00EE540B" w:rsidRPr="00EE540B" w:rsidRDefault="00EE540B" w:rsidP="00771C9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2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Método lineal versus Método años de servicios</w:t>
            </w:r>
          </w:p>
          <w:p w14:paraId="45F5B936" w14:textId="3AE1C902" w:rsidR="00EE540B" w:rsidRPr="00EE540B" w:rsidRDefault="00EE540B" w:rsidP="00771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61"/>
              <w:rPr>
                <w:rFonts w:ascii="Arial" w:hAnsi="Arial" w:cs="Arial"/>
                <w:bCs/>
              </w:rPr>
            </w:pPr>
            <w:r w:rsidRPr="00EE540B">
              <w:rPr>
                <w:rFonts w:ascii="Arial" w:hAnsi="Arial" w:cs="Arial"/>
                <w:bCs/>
              </w:rPr>
              <w:t>Divulgación en las Notas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2507" w14:textId="48836355" w:rsidR="00C2066C" w:rsidRPr="00AC17BB" w:rsidRDefault="00C2066C" w:rsidP="00C2066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1CAB" w14:textId="543ADF95" w:rsidR="005247C5" w:rsidRDefault="006B0B3F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5247C5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74446C6A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20EF43E4" w14:textId="41786154" w:rsidR="00C2066C" w:rsidRPr="00AC17BB" w:rsidRDefault="006B0B3F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14F7" w14:textId="56D89FD4" w:rsidR="00C2066C" w:rsidRDefault="00C2066C" w:rsidP="00C2066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C2066C" w:rsidRPr="00AC17BB" w14:paraId="3BB8B2F9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A6F2" w14:textId="28553A5A" w:rsidR="00C2066C" w:rsidRDefault="00C2066C" w:rsidP="00C2066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 w:rsidRPr="00737B09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I. RECONOCIMIENTO DE INGRESO</w:t>
            </w:r>
          </w:p>
          <w:p w14:paraId="09BC0147" w14:textId="77777777" w:rsidR="00437DC7" w:rsidRPr="00437DC7" w:rsidRDefault="00437DC7" w:rsidP="00771C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Definición de ingresos</w:t>
            </w:r>
          </w:p>
          <w:p w14:paraId="0C89B77E" w14:textId="77777777" w:rsidR="00437DC7" w:rsidRPr="00437DC7" w:rsidRDefault="00437DC7" w:rsidP="00771C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Regla general para reconocimiento de ingresos</w:t>
            </w:r>
          </w:p>
          <w:p w14:paraId="1A51272E" w14:textId="77777777" w:rsidR="00437DC7" w:rsidRPr="00437DC7" w:rsidRDefault="00437DC7" w:rsidP="00771C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Cinco pasos para reconocer ingresos</w:t>
            </w:r>
          </w:p>
          <w:p w14:paraId="3658D159" w14:textId="77777777" w:rsidR="00437DC7" w:rsidRPr="00437DC7" w:rsidRDefault="00437DC7" w:rsidP="00771C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Identificar el Contrato con el Cliente</w:t>
            </w:r>
          </w:p>
          <w:p w14:paraId="086421AC" w14:textId="77777777" w:rsidR="00437DC7" w:rsidRPr="00437DC7" w:rsidRDefault="00437DC7" w:rsidP="00771C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Identificar las distintas Obligaciones por Desempeño (OPD) contenidas en el contrato (segregar el contrato)</w:t>
            </w:r>
          </w:p>
          <w:p w14:paraId="046C6AE7" w14:textId="77777777" w:rsidR="00437DC7" w:rsidRPr="00437DC7" w:rsidRDefault="00437DC7" w:rsidP="00771C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Determinar el precio (cantidad monetaria) de la transacción.</w:t>
            </w:r>
          </w:p>
          <w:p w14:paraId="4E4DC1DC" w14:textId="77777777" w:rsidR="00437DC7" w:rsidRPr="00437DC7" w:rsidRDefault="00437DC7" w:rsidP="00771C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Distribuir (prorratear) el precio de la transacción entre las diferentes obligaciones por desempeño (OPD) que fueron identificadas y analizadas en el paso 2</w:t>
            </w:r>
          </w:p>
          <w:p w14:paraId="1812F9A1" w14:textId="77777777" w:rsidR="00437DC7" w:rsidRPr="00437DC7" w:rsidRDefault="00437DC7" w:rsidP="00771C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6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Reconocer el INGRESO cuando (o a medida que) la empresa satisface POR SEPARADO cada una de las obligaciones por desempeño del contrato.</w:t>
            </w:r>
          </w:p>
          <w:p w14:paraId="1F56F521" w14:textId="77777777" w:rsidR="00437DC7" w:rsidRPr="00437DC7" w:rsidRDefault="00437DC7" w:rsidP="00771C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Contabilidad para contratos de Construcción</w:t>
            </w:r>
          </w:p>
          <w:p w14:paraId="6606AACF" w14:textId="77777777" w:rsidR="00437DC7" w:rsidRPr="00437DC7" w:rsidRDefault="00437DC7" w:rsidP="00771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5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Porcentaje de terminación</w:t>
            </w:r>
          </w:p>
          <w:p w14:paraId="25C26383" w14:textId="0E76CA2A" w:rsidR="00C2066C" w:rsidRPr="00437DC7" w:rsidRDefault="00437DC7" w:rsidP="00771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51"/>
              <w:rPr>
                <w:rFonts w:ascii="Arial" w:hAnsi="Arial" w:cs="Arial"/>
              </w:rPr>
            </w:pPr>
            <w:r w:rsidRPr="00437DC7">
              <w:rPr>
                <w:rFonts w:ascii="Arial" w:hAnsi="Arial" w:cs="Arial"/>
              </w:rPr>
              <w:t>Contrato completado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6B03" w14:textId="77777777" w:rsidR="00C2066C" w:rsidRPr="00AC17BB" w:rsidRDefault="00C2066C" w:rsidP="00C2066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5.5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1436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37A82ABE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6870A810" w14:textId="6B71B873" w:rsidR="00C2066C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63AD" w14:textId="77777777" w:rsidR="00C2066C" w:rsidRDefault="00C2066C" w:rsidP="00C2066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5.5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5247C5" w:rsidRPr="00AC17BB" w14:paraId="602BC51E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CD1B" w14:textId="483D48C6" w:rsidR="005247C5" w:rsidRPr="00703343" w:rsidRDefault="005247C5" w:rsidP="005247C5">
            <w:pPr>
              <w:spacing w:after="0" w:line="240" w:lineRule="auto"/>
              <w:ind w:left="431" w:hanging="431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283910">
              <w:rPr>
                <w:sz w:val="24"/>
                <w:szCs w:val="24"/>
                <w:lang w:val="es-US"/>
              </w:rPr>
              <w:lastRenderedPageBreak/>
              <w:t xml:space="preserve"> </w:t>
            </w:r>
            <w:r w:rsidRPr="00737B09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V. CONTABILIDAD PARA EL GASTO DE CONTRIBUCIONES</w:t>
            </w:r>
            <w:r w:rsidRPr="006F5D24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 (</w:t>
            </w:r>
            <w:r w:rsidRPr="006F5D24">
              <w:rPr>
                <w:rFonts w:ascii="Arial" w:hAnsi="Arial" w:cs="Arial"/>
                <w:b/>
                <w:bCs/>
              </w:rPr>
              <w:t>IMPUESTO SOBRE LA RENTA)</w:t>
            </w:r>
          </w:p>
          <w:p w14:paraId="270B5AD8" w14:textId="1E73DBB4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Diferencia entre el ingreso según libros (book income) y el ingreso tributable (taxable income) </w:t>
            </w:r>
          </w:p>
          <w:p w14:paraId="45D94223" w14:textId="7E559E00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Diferencia entre el prorrateo interperiódico y el prorrateo intraperiódico. </w:t>
            </w:r>
          </w:p>
          <w:p w14:paraId="694C1FED" w14:textId="18CD797D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Contabilización de una pérdida neta operacional a través del retro arrastre y del arrastre. </w:t>
            </w:r>
          </w:p>
          <w:p w14:paraId="4F702015" w14:textId="77777777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Diferencias permanentes versus diferencias temporales. </w:t>
            </w:r>
          </w:p>
          <w:p w14:paraId="09492F5C" w14:textId="77777777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Reconciliación del ingreso contable (ingreso antes de impuestos) con el ingreso tributable (taxable income).</w:t>
            </w:r>
          </w:p>
          <w:p w14:paraId="52D2AE9A" w14:textId="77777777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Contabilidad para activos contributivos diferidos (deferred tax assets, DTA) y para pasivos contributivos diferidos (deferred tax liabilities, DTL). </w:t>
            </w:r>
          </w:p>
          <w:p w14:paraId="3953C3AC" w14:textId="77777777" w:rsidR="005247C5" w:rsidRPr="00B01E72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Efectos del DTA y el DTL en los estados financieros.</w:t>
            </w:r>
          </w:p>
          <w:p w14:paraId="7AE745B1" w14:textId="1FAE4787" w:rsidR="005247C5" w:rsidRPr="00737B09" w:rsidRDefault="005247C5" w:rsidP="00771C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72">
              <w:rPr>
                <w:rFonts w:ascii="Arial" w:hAnsi="Arial" w:cs="Arial"/>
              </w:rPr>
              <w:t>Análisis de la nota del Impuesto sobre la Renta en los estados financieros.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A30C" w14:textId="6BF2C1AC" w:rsidR="005247C5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F34F" w14:textId="0EE55D46" w:rsidR="005247C5" w:rsidRDefault="006B0B3F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5247C5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1253EBC7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7F345130" w14:textId="236D12AA" w:rsidR="005247C5" w:rsidRPr="00AC17BB" w:rsidRDefault="006B0B3F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23D" w14:textId="4425B176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5247C5" w:rsidRPr="00AC17BB" w14:paraId="7647349A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6873" w14:textId="57082CF9" w:rsidR="005247C5" w:rsidRPr="001F3A5F" w:rsidRDefault="005247C5" w:rsidP="005247C5">
            <w:pPr>
              <w:spacing w:after="0" w:line="240" w:lineRule="auto"/>
              <w:ind w:left="341" w:hanging="341"/>
              <w:rPr>
                <w:rFonts w:ascii="Arial" w:hAnsi="Arial" w:cs="Arial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V. </w:t>
            </w:r>
            <w:r w:rsidRPr="00334AAE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CAMBIOS EN CONTABILIDAD, ESTIMADOS &amp; ERRORES</w:t>
            </w:r>
          </w:p>
          <w:p w14:paraId="6FD3B0BB" w14:textId="29CBC587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 xml:space="preserve">Diferencias entre los tres tipos de cambios contables </w:t>
            </w:r>
          </w:p>
          <w:p w14:paraId="526B2D4E" w14:textId="12F0D8B1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Situaciones que constituyen un cambio en la entidad que informa.</w:t>
            </w:r>
          </w:p>
          <w:p w14:paraId="74B5ED10" w14:textId="77777777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Motivaciones para que las empresas realicen cambios en contabilidad.</w:t>
            </w:r>
          </w:p>
          <w:p w14:paraId="025475F4" w14:textId="77777777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Enfoque retrospectivo versus prospectivo para contabilizar y reportar los cambios contables.</w:t>
            </w:r>
          </w:p>
          <w:p w14:paraId="7D3DBDEB" w14:textId="77777777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Contabilidad de un cambio en principio</w:t>
            </w:r>
          </w:p>
          <w:p w14:paraId="44ABEDFD" w14:textId="77777777" w:rsidR="005247C5" w:rsidRPr="00B01E72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</w:rPr>
              <w:t>Contabilidad de un cambio en estimado</w:t>
            </w:r>
          </w:p>
          <w:p w14:paraId="506ECA22" w14:textId="12D5D901" w:rsidR="005247C5" w:rsidRPr="00334AAE" w:rsidRDefault="005247C5" w:rsidP="00771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E72">
              <w:rPr>
                <w:rFonts w:ascii="Arial" w:hAnsi="Arial" w:cs="Arial"/>
              </w:rPr>
              <w:t>Contabilidad de varios errores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69B2" w14:textId="0ED7DB2D" w:rsidR="005247C5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3128" w14:textId="659F7A02" w:rsidR="005247C5" w:rsidRDefault="006B0B3F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</w:t>
            </w:r>
            <w:r w:rsidR="005247C5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3D27A931" w14:textId="6596CF66" w:rsidR="005247C5" w:rsidRDefault="006B0B3F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3D338AF8" w14:textId="54EE11A9" w:rsidR="005247C5" w:rsidRPr="00AC17BB" w:rsidRDefault="006B0B3F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12BF" w14:textId="6AA6A8CB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5247C5" w:rsidRPr="00AC17BB" w14:paraId="14CC7509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88E6" w14:textId="77777777" w:rsidR="005247C5" w:rsidRDefault="005247C5" w:rsidP="005247C5">
            <w:pPr>
              <w:spacing w:after="0" w:line="240" w:lineRule="auto"/>
              <w:ind w:left="341" w:hanging="341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V. CONTABILIDAD PARA ARRENDAMIENTOS</w:t>
            </w:r>
          </w:p>
          <w:p w14:paraId="3400F08D" w14:textId="526D42EA" w:rsidR="005247C5" w:rsidRPr="00B01E72" w:rsidRDefault="005247C5" w:rsidP="00771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Criterios para clasificar un contrato de arrendamiento</w:t>
            </w:r>
          </w:p>
          <w:p w14:paraId="44ACE6B8" w14:textId="7493CB61" w:rsidR="005247C5" w:rsidRPr="00B01E72" w:rsidRDefault="005247C5" w:rsidP="00771C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Arrendatario versus arrendador (lessor)</w:t>
            </w:r>
          </w:p>
          <w:p w14:paraId="23191230" w14:textId="77777777" w:rsidR="005247C5" w:rsidRPr="00B01E72" w:rsidRDefault="005247C5" w:rsidP="00771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Contabilidad para el Arrendador</w:t>
            </w:r>
          </w:p>
          <w:p w14:paraId="13DB816C" w14:textId="77777777" w:rsidR="005247C5" w:rsidRPr="00B01E72" w:rsidRDefault="005247C5" w:rsidP="00771C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Arrendamiento tipo venta con ganancia bruta</w:t>
            </w:r>
          </w:p>
          <w:p w14:paraId="6700D8BC" w14:textId="77777777" w:rsidR="005247C5" w:rsidRPr="00B01E72" w:rsidRDefault="005247C5" w:rsidP="00771C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Arrendamiento tipo venta sin ganancia bruta</w:t>
            </w:r>
          </w:p>
          <w:p w14:paraId="26878F99" w14:textId="77777777" w:rsidR="005247C5" w:rsidRPr="00B01E72" w:rsidRDefault="005247C5" w:rsidP="00771C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Arrendamiento financiamiento directo</w:t>
            </w:r>
          </w:p>
          <w:p w14:paraId="399C9841" w14:textId="77777777" w:rsidR="005247C5" w:rsidRPr="00B01E72" w:rsidRDefault="005247C5" w:rsidP="00771C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Arrendamiento operacional</w:t>
            </w:r>
          </w:p>
          <w:p w14:paraId="0CAC0988" w14:textId="3CE6225E" w:rsidR="005247C5" w:rsidRPr="00B01E72" w:rsidRDefault="005247C5" w:rsidP="00771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Contabilidad para el arrendatario (lessee)</w:t>
            </w:r>
          </w:p>
          <w:p w14:paraId="3EF66340" w14:textId="77777777" w:rsidR="005247C5" w:rsidRPr="00B01E72" w:rsidRDefault="005247C5" w:rsidP="00771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Financiero</w:t>
            </w:r>
          </w:p>
          <w:p w14:paraId="0D4A549C" w14:textId="77777777" w:rsidR="005247C5" w:rsidRPr="00B01E72" w:rsidRDefault="005247C5" w:rsidP="00771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Operacional</w:t>
            </w:r>
          </w:p>
          <w:p w14:paraId="779CADA6" w14:textId="77777777" w:rsidR="005247C5" w:rsidRPr="00B01E72" w:rsidRDefault="005247C5" w:rsidP="00771C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061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SLB</w:t>
            </w:r>
          </w:p>
          <w:p w14:paraId="50BEB65C" w14:textId="77777777" w:rsidR="005247C5" w:rsidRPr="00B01E72" w:rsidRDefault="005247C5" w:rsidP="00771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B01E72">
              <w:rPr>
                <w:rFonts w:ascii="Arial" w:hAnsi="Arial" w:cs="Arial"/>
                <w:lang w:val="es-US"/>
              </w:rPr>
              <w:t>Contabilidad para los costos de tenencia</w:t>
            </w:r>
          </w:p>
          <w:p w14:paraId="7C209C40" w14:textId="7D6556EA" w:rsidR="005247C5" w:rsidRPr="00703343" w:rsidRDefault="005247C5" w:rsidP="00771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B01E72">
              <w:rPr>
                <w:rFonts w:ascii="Arial" w:hAnsi="Arial" w:cs="Arial"/>
                <w:lang w:val="es-US"/>
              </w:rPr>
              <w:t xml:space="preserve">Efecto de los arrendamientos en el Estado de Flujos de Efectivo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445B" w14:textId="02CC1842" w:rsidR="005247C5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45C" w14:textId="4B805ABC" w:rsidR="005247C5" w:rsidRDefault="006B0B3F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5247C5"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03E485E2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31C0FD83" w14:textId="13B4F2CB" w:rsidR="005247C5" w:rsidRPr="00AC17BB" w:rsidRDefault="006B0B3F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5247C5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5930" w14:textId="52E0D8F1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C2066C" w:rsidRPr="00AC17BB" w14:paraId="7B306BCC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2E38" w14:textId="57D66F14" w:rsidR="00C2066C" w:rsidRDefault="00C2066C" w:rsidP="00C2066C">
            <w:pPr>
              <w:spacing w:after="0" w:line="240" w:lineRule="auto"/>
              <w:ind w:left="341" w:hanging="341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VI. CONTABILIDAD PARA DERIVADOS </w:t>
            </w:r>
          </w:p>
          <w:p w14:paraId="1DAB1AE0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Definición de derivados</w:t>
            </w:r>
          </w:p>
          <w:p w14:paraId="4832D712" w14:textId="7F57B04D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Diferencia entre cobertura (hedge), especulación y arbitraje</w:t>
            </w:r>
          </w:p>
          <w:p w14:paraId="6171A341" w14:textId="2875680F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Derivados simples (vainilla): Forwards, Futures, Options y Swaps</w:t>
            </w:r>
          </w:p>
          <w:p w14:paraId="5F90ED05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Diferencias entre una cobertura de flujo de efectivo y una de justo valor.</w:t>
            </w:r>
          </w:p>
          <w:p w14:paraId="55E1D50C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Contabilidad de una cobertura de flujo de efectivo</w:t>
            </w:r>
          </w:p>
          <w:p w14:paraId="53B70D57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lastRenderedPageBreak/>
              <w:t>Contabilidad de una cobertura de justo valor</w:t>
            </w:r>
          </w:p>
          <w:p w14:paraId="3087B699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Presentación de los derivados en el Estado de Situación Financiera</w:t>
            </w:r>
          </w:p>
          <w:p w14:paraId="6174C5F3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Presentación de las ganancias o pérdidas no realizadas de los derivados y de los activos y deudas protegidos por el derivado.</w:t>
            </w:r>
          </w:p>
          <w:p w14:paraId="57DAE839" w14:textId="77777777" w:rsidR="00753435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Presentación de las ganancias o pérdidas por la porción no-efectiva (inefectiva) de un derivado.</w:t>
            </w:r>
          </w:p>
          <w:p w14:paraId="5323E98B" w14:textId="0FF4B96C" w:rsidR="00C2066C" w:rsidRPr="00753435" w:rsidRDefault="00753435" w:rsidP="00771C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753435">
              <w:rPr>
                <w:rFonts w:ascii="Arial" w:hAnsi="Arial" w:cs="Arial"/>
              </w:rPr>
              <w:t>Contabilizar una cobertura de justo valor de un swap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531D" w14:textId="4B478FB0" w:rsidR="00C2066C" w:rsidRPr="00AC17BB" w:rsidRDefault="00C2066C" w:rsidP="00C2066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 xml:space="preserve">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E3DC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  <w:p w14:paraId="47981656" w14:textId="77777777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2F0E3BBA" w14:textId="27D0F329" w:rsidR="00C2066C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3.5 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1BAC" w14:textId="6A32B084" w:rsidR="00C2066C" w:rsidRDefault="00C2066C" w:rsidP="00C2066C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5247C5" w:rsidRPr="00AC17BB" w14:paraId="55F7DE7B" w14:textId="28CE8772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8B0" w14:textId="7F76382B" w:rsidR="005247C5" w:rsidRPr="005247C5" w:rsidRDefault="005247C5" w:rsidP="005247C5">
            <w:pPr>
              <w:spacing w:after="0" w:line="240" w:lineRule="auto"/>
              <w:ind w:left="341" w:hanging="341"/>
              <w:rPr>
                <w:rFonts w:ascii="Arial" w:hAnsi="Arial" w:cs="Arial"/>
              </w:rPr>
            </w:pPr>
            <w:r w:rsidRPr="00283910">
              <w:rPr>
                <w:sz w:val="24"/>
                <w:szCs w:val="24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VII. TEMAS RECIENTES DE CONTABILIDAD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135C6430" w:rsidR="005247C5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B0B" w14:textId="1D667A98" w:rsidR="005247C5" w:rsidRPr="00AC17BB" w:rsidRDefault="005247C5" w:rsidP="005247C5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  <w:r w:rsidR="006B0B3F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9FF" w14:textId="4AA6101A" w:rsidR="005247C5" w:rsidRDefault="005247C5" w:rsidP="005247C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6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proofErr w:type="gramEnd"/>
          </w:p>
        </w:tc>
      </w:tr>
      <w:tr w:rsidR="00C2066C" w:rsidRPr="00AC17BB" w14:paraId="443FDB55" w14:textId="77777777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DAD" w14:textId="371137F6" w:rsidR="00C2066C" w:rsidRDefault="00C2066C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 a temas</w:t>
            </w: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2A9CB787" w14:textId="77777777" w:rsidR="006B0B3F" w:rsidRDefault="006B0B3F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3DE4BC0A" w14:textId="5A9487EB" w:rsidR="00C2066C" w:rsidRPr="00E4658D" w:rsidRDefault="00C2066C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</w:pPr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t xml:space="preserve">Tiempo asignado </w:t>
            </w:r>
            <w:proofErr w:type="gramStart"/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t>a  discusión</w:t>
            </w:r>
            <w:proofErr w:type="gramEnd"/>
            <w:r w:rsidRPr="00972BD5">
              <w:rPr>
                <w:rFonts w:ascii="Arial Narrow" w:hAnsi="Arial Narrow" w:cs="Arial"/>
                <w:b/>
                <w:bCs/>
                <w:sz w:val="24"/>
                <w:szCs w:val="24"/>
                <w:lang w:val="es-US"/>
              </w:rPr>
              <w:t xml:space="preserve"> de exámenes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AA0C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>horas</w:t>
            </w:r>
          </w:p>
          <w:p w14:paraId="0E7FF7BA" w14:textId="77777777" w:rsidR="006B0B3F" w:rsidRDefault="006B0B3F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</w:p>
          <w:p w14:paraId="6D8D0935" w14:textId="593983BE" w:rsidR="00C2066C" w:rsidRPr="00AC17BB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3 horas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71B55" w14:textId="77777777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AC17BB">
              <w:rPr>
                <w:rFonts w:ascii="Arial Narrow" w:hAnsi="Arial Narrow"/>
                <w:b/>
                <w:lang w:val="es-PR"/>
              </w:rPr>
              <w:t>4</w:t>
            </w:r>
            <w:r>
              <w:rPr>
                <w:rFonts w:ascii="Arial Narrow" w:hAnsi="Arial Narrow"/>
                <w:b/>
                <w:lang w:val="es-PR"/>
              </w:rPr>
              <w:t xml:space="preserve">2 </w:t>
            </w:r>
            <w:r w:rsidRPr="00AC17BB">
              <w:rPr>
                <w:rFonts w:ascii="Arial Narrow" w:hAnsi="Arial Narrow"/>
                <w:b/>
                <w:lang w:val="es-PR"/>
              </w:rPr>
              <w:t xml:space="preserve"> horas</w:t>
            </w:r>
            <w:proofErr w:type="gramEnd"/>
          </w:p>
          <w:p w14:paraId="25B0DA2B" w14:textId="77777777" w:rsidR="006B0B3F" w:rsidRDefault="006B0B3F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</w:p>
          <w:p w14:paraId="4ABC9BD8" w14:textId="5E4F5D08" w:rsidR="00C2066C" w:rsidRPr="00AC17BB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proofErr w:type="gramStart"/>
            <w:r>
              <w:rPr>
                <w:rFonts w:ascii="Arial Narrow" w:hAnsi="Arial Narrow"/>
                <w:b/>
                <w:lang w:val="es-PR"/>
              </w:rPr>
              <w:t>3  horas</w:t>
            </w:r>
            <w:proofErr w:type="gramEnd"/>
            <w:r w:rsidR="006B0B3F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6B0B3F" w:rsidRPr="006B0B3F">
              <w:rPr>
                <w:rFonts w:ascii="Arial Narrow" w:hAnsi="Arial Narrow"/>
                <w:bCs/>
                <w:lang w:val="es-PR"/>
              </w:rPr>
              <w:t>presenciales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1A027" w14:textId="77777777" w:rsidR="00C2066C" w:rsidRDefault="00C2066C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C17BB">
              <w:rPr>
                <w:rFonts w:ascii="Arial Narrow" w:hAnsi="Arial Narrow"/>
                <w:b/>
                <w:sz w:val="24"/>
                <w:szCs w:val="24"/>
              </w:rPr>
              <w:t xml:space="preserve"> horas</w:t>
            </w:r>
          </w:p>
          <w:p w14:paraId="1A35CA64" w14:textId="77777777" w:rsidR="006B0B3F" w:rsidRDefault="006B0B3F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95508B" w14:textId="0CAE6A6F" w:rsidR="00C2066C" w:rsidRPr="00AC17BB" w:rsidRDefault="00C2066C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 horas</w:t>
            </w:r>
          </w:p>
        </w:tc>
      </w:tr>
      <w:tr w:rsidR="00C2066C" w:rsidRPr="00AC17BB" w14:paraId="0F94E118" w14:textId="05396970" w:rsidTr="006B0B3F">
        <w:trPr>
          <w:gridAfter w:val="1"/>
          <w:wAfter w:w="90" w:type="dxa"/>
          <w:trHeight w:val="220"/>
        </w:trPr>
        <w:tc>
          <w:tcPr>
            <w:tcW w:w="64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4D6F9C92" w:rsidR="00C2066C" w:rsidRPr="00972BD5" w:rsidRDefault="00C2066C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gramStart"/>
            <w:r w:rsidRPr="00972BD5">
              <w:rPr>
                <w:rFonts w:ascii="Arial Narrow" w:hAnsi="Arial Narrow"/>
                <w:b/>
                <w:sz w:val="24"/>
                <w:szCs w:val="24"/>
              </w:rPr>
              <w:t>Tota</w:t>
            </w:r>
            <w:r>
              <w:rPr>
                <w:rFonts w:ascii="Arial Narrow" w:hAnsi="Arial Narrow"/>
                <w:b/>
                <w:sz w:val="24"/>
                <w:szCs w:val="24"/>
              </w:rPr>
              <w:t>l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de</w:t>
            </w:r>
            <w:r w:rsidRPr="00972BD5">
              <w:rPr>
                <w:rFonts w:ascii="Arial Narrow" w:hAnsi="Arial Narrow"/>
                <w:b/>
                <w:sz w:val="24"/>
                <w:szCs w:val="24"/>
              </w:rPr>
              <w:t xml:space="preserve"> horas contacto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C51" w14:textId="30C0D2B9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6C5988A3" w14:textId="58001170" w:rsidR="00C2066C" w:rsidRPr="00AC17BB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3943" w14:textId="52C82D34" w:rsidR="00C2066C" w:rsidRDefault="00C2066C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4784489E" w:rsidR="00C2066C" w:rsidRPr="001F3A5F" w:rsidRDefault="00C2066C" w:rsidP="00863F3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1F3A5F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="006B0B3F">
              <w:rPr>
                <w:rFonts w:ascii="Arial Narrow" w:hAnsi="Arial Narrow"/>
                <w:sz w:val="20"/>
                <w:szCs w:val="20"/>
                <w:lang w:val="es-PR"/>
              </w:rPr>
              <w:t>24</w:t>
            </w:r>
            <w:r w:rsidRPr="001F3A5F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 w:rsidR="006B0B3F">
              <w:rPr>
                <w:rFonts w:ascii="Arial Narrow" w:hAnsi="Arial Narrow"/>
                <w:sz w:val="20"/>
                <w:szCs w:val="20"/>
                <w:lang w:val="es-PR"/>
              </w:rPr>
              <w:t>53</w:t>
            </w:r>
            <w:r w:rsidRPr="001F3A5F">
              <w:rPr>
                <w:rFonts w:ascii="Arial Narrow" w:hAnsi="Arial Narrow"/>
                <w:sz w:val="20"/>
                <w:szCs w:val="20"/>
                <w:lang w:val="es-PR"/>
              </w:rPr>
              <w:t>% y</w:t>
            </w:r>
          </w:p>
          <w:p w14:paraId="0866F1D7" w14:textId="25C66103" w:rsidR="00C2066C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21</w:t>
            </w:r>
            <w:r w:rsidR="00C2066C" w:rsidRPr="001F3A5F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en línea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47</w:t>
            </w:r>
            <w:r w:rsidR="00C2066C" w:rsidRPr="001F3A5F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8F7C" w14:textId="6ACD860A" w:rsidR="00C2066C" w:rsidRPr="00AC17BB" w:rsidRDefault="00C2066C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45 horas</w:t>
            </w:r>
          </w:p>
        </w:tc>
      </w:tr>
      <w:tr w:rsidR="00A93864" w:rsidRPr="00337CBE" w14:paraId="61188B86" w14:textId="26233874" w:rsidTr="006B0B3F">
        <w:trPr>
          <w:trHeight w:val="240"/>
        </w:trPr>
        <w:tc>
          <w:tcPr>
            <w:tcW w:w="11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7AA8" w14:textId="72225234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Libro de </w:t>
            </w:r>
            <w:r w:rsidRPr="007328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Texto</w:t>
            </w: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A93864" w:rsidRPr="0078194E" w14:paraId="6AC5082C" w14:textId="28234192" w:rsidTr="006B0B3F">
        <w:trPr>
          <w:trHeight w:val="240"/>
        </w:trPr>
        <w:tc>
          <w:tcPr>
            <w:tcW w:w="11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008B" w14:textId="77777777" w:rsidR="00863F31" w:rsidRDefault="00863F31" w:rsidP="00863F31">
            <w:pPr>
              <w:spacing w:after="0" w:line="240" w:lineRule="auto"/>
              <w:ind w:right="39"/>
              <w:rPr>
                <w:rFonts w:ascii="Arial" w:hAnsi="Arial" w:cs="Arial"/>
              </w:rPr>
            </w:pPr>
            <w:bookmarkStart w:id="0" w:name="_Hlk30689036"/>
          </w:p>
          <w:p w14:paraId="03DBE848" w14:textId="266AB84C" w:rsidR="00A93864" w:rsidRDefault="00A93864" w:rsidP="00863F31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  <w:proofErr w:type="spellStart"/>
            <w:r w:rsidRPr="00337CBE">
              <w:rPr>
                <w:rFonts w:ascii="Arial" w:hAnsi="Arial" w:cs="Arial"/>
              </w:rPr>
              <w:t>Kieso</w:t>
            </w:r>
            <w:proofErr w:type="spellEnd"/>
            <w:r w:rsidRPr="00337CBE">
              <w:rPr>
                <w:rFonts w:ascii="Arial" w:hAnsi="Arial" w:cs="Arial"/>
              </w:rPr>
              <w:t xml:space="preserve">, D.E., </w:t>
            </w:r>
            <w:proofErr w:type="spellStart"/>
            <w:r w:rsidRPr="00337CBE">
              <w:rPr>
                <w:rFonts w:ascii="Arial" w:hAnsi="Arial" w:cs="Arial"/>
              </w:rPr>
              <w:t>Weygandt</w:t>
            </w:r>
            <w:proofErr w:type="spellEnd"/>
            <w:r w:rsidRPr="00337CBE">
              <w:rPr>
                <w:rFonts w:ascii="Arial" w:hAnsi="Arial" w:cs="Arial"/>
              </w:rPr>
              <w:t xml:space="preserve">, J.J. &amp; Warfield, T.D. (2019). </w:t>
            </w:r>
            <w:r w:rsidRPr="00337CBE">
              <w:rPr>
                <w:rFonts w:ascii="Arial" w:hAnsi="Arial" w:cs="Arial"/>
                <w:i/>
                <w:lang w:val="en-US"/>
              </w:rPr>
              <w:t xml:space="preserve">Intermediate Accounting. </w:t>
            </w:r>
            <w:r w:rsidRPr="00337CBE">
              <w:rPr>
                <w:rFonts w:ascii="Arial" w:hAnsi="Arial" w:cs="Arial"/>
                <w:lang w:val="en-US"/>
              </w:rPr>
              <w:t>17</w:t>
            </w:r>
            <w:r w:rsidRPr="00337CBE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337CBE">
              <w:rPr>
                <w:rFonts w:ascii="Arial" w:hAnsi="Arial" w:cs="Arial"/>
                <w:lang w:val="en-US"/>
              </w:rPr>
              <w:t xml:space="preserve"> New York: John Wiley </w:t>
            </w:r>
            <w:bookmarkEnd w:id="0"/>
          </w:p>
          <w:p w14:paraId="6B973CE7" w14:textId="70979FD7" w:rsidR="00863F31" w:rsidRPr="00E4658D" w:rsidRDefault="00863F31" w:rsidP="00863F31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</w:p>
        </w:tc>
      </w:tr>
      <w:tr w:rsidR="00A93864" w:rsidRPr="00337CBE" w14:paraId="52CB791E" w14:textId="240852F8" w:rsidTr="006B0B3F">
        <w:trPr>
          <w:trHeight w:val="332"/>
        </w:trPr>
        <w:tc>
          <w:tcPr>
            <w:tcW w:w="11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C10B" w14:textId="51343063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</w:tc>
      </w:tr>
      <w:tr w:rsidR="00A93864" w:rsidRPr="00337CBE" w14:paraId="08ADAE85" w14:textId="03F1B1BE" w:rsidTr="006B0B3F">
        <w:trPr>
          <w:trHeight w:val="278"/>
        </w:trPr>
        <w:tc>
          <w:tcPr>
            <w:tcW w:w="11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8B7B" w14:textId="174D866C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CBE">
              <w:rPr>
                <w:rFonts w:ascii="Arial" w:eastAsia="Times New Roman" w:hAnsi="Arial" w:cs="Arial"/>
                <w:color w:val="000000"/>
              </w:rPr>
              <w:t>Se podrán utilizar algunas de las siguientes:</w:t>
            </w:r>
          </w:p>
        </w:tc>
      </w:tr>
      <w:tr w:rsidR="006B0B3F" w:rsidRPr="00AC17BB" w14:paraId="1CD5551C" w14:textId="2FBFD623" w:rsidTr="006B0B3F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55F40CA2" w:rsidR="006B0B3F" w:rsidRPr="00AC17BB" w:rsidRDefault="006B0B3F" w:rsidP="00863F31">
            <w:pPr>
              <w:pStyle w:val="Default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s-PR"/>
              </w:rPr>
              <w:br w:type="page"/>
            </w: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6B0B3F" w:rsidRPr="00AC17BB" w:rsidRDefault="006B0B3F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86B821" w14:textId="0751FAAF" w:rsidR="006B0B3F" w:rsidRDefault="006B0B3F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6B0B3F" w:rsidRPr="00AC17BB" w14:paraId="775D4401" w14:textId="6452CBC3" w:rsidTr="006B0B3F">
        <w:trPr>
          <w:trHeight w:val="26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6B0B3F" w:rsidRPr="00863F31" w:rsidRDefault="006B0B3F" w:rsidP="00771C98">
            <w:pPr>
              <w:pStyle w:val="Default"/>
              <w:numPr>
                <w:ilvl w:val="0"/>
                <w:numId w:val="1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6B0B3F" w:rsidRPr="00863F31" w:rsidRDefault="006B0B3F" w:rsidP="00771C98">
            <w:pPr>
              <w:pStyle w:val="Default"/>
              <w:numPr>
                <w:ilvl w:val="0"/>
                <w:numId w:val="1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5022C385" w14:textId="121773EE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5DC98721" w14:textId="77777777" w:rsidR="006B0B3F" w:rsidRPr="00863F31" w:rsidRDefault="006B0B3F" w:rsidP="00771C9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1751E7D7" w14:textId="7ACD9B01" w:rsidR="006B0B3F" w:rsidRPr="00863F31" w:rsidRDefault="006B0B3F" w:rsidP="00771C9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Instrucción asistida por la computadora</w:t>
            </w:r>
          </w:p>
          <w:p w14:paraId="3C37D755" w14:textId="77777777" w:rsidR="006B0B3F" w:rsidRPr="00863F31" w:rsidRDefault="006B0B3F" w:rsidP="00771C98">
            <w:pPr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3340F37B" w14:textId="434B73C8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right="163" w:hanging="184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Resolución de problemas con el uso de programado de hojas electrónicas.</w:t>
            </w:r>
          </w:p>
          <w:p w14:paraId="40B88DA5" w14:textId="26B30637" w:rsidR="006B0B3F" w:rsidRPr="00863F31" w:rsidRDefault="006B0B3F" w:rsidP="00863F31">
            <w:pPr>
              <w:pStyle w:val="Default"/>
              <w:ind w:left="166" w:hanging="184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2B72B9DE" w14:textId="474AD336" w:rsidR="006B0B3F" w:rsidRPr="00863F31" w:rsidRDefault="006B0B3F" w:rsidP="00863F31">
            <w:pPr>
              <w:pStyle w:val="Default"/>
              <w:ind w:left="-26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38A5173E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3CB5E0B1" w14:textId="428AB531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2095408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  <w:r w:rsidRPr="00863F31">
              <w:rPr>
                <w:rFonts w:ascii="Arial Narrow" w:hAnsi="Arial Narrow" w:cs="Arial"/>
              </w:rPr>
              <w:t xml:space="preserve"> </w:t>
            </w:r>
          </w:p>
          <w:p w14:paraId="73B5A80D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  <w:r w:rsidRPr="00863F31">
              <w:rPr>
                <w:rFonts w:ascii="Arial Narrow" w:hAnsi="Arial Narrow"/>
              </w:rPr>
              <w:t xml:space="preserve"> </w:t>
            </w:r>
          </w:p>
          <w:p w14:paraId="31C677A4" w14:textId="7D3DDB86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Resolución de problemas con el uso de programado de hojas electrónicas.</w:t>
            </w:r>
          </w:p>
          <w:p w14:paraId="415D4B2A" w14:textId="788D3781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Instrucción asistida por la computador</w:t>
            </w:r>
            <w:r>
              <w:rPr>
                <w:rFonts w:ascii="Arial Narrow" w:hAnsi="Arial Narrow" w:cs="Arial"/>
              </w:rPr>
              <w:t>a</w:t>
            </w:r>
            <w:r w:rsidRPr="00863F31">
              <w:rPr>
                <w:rFonts w:ascii="Arial Narrow" w:hAnsi="Arial Narrow" w:cs="Arial"/>
              </w:rPr>
              <w:t xml:space="preserve"> o algún medio electrónico.</w:t>
            </w:r>
          </w:p>
          <w:p w14:paraId="7E108C59" w14:textId="3A0575EC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22F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Discusión dirigida: presentación</w:t>
            </w:r>
          </w:p>
          <w:p w14:paraId="6F0AB65B" w14:textId="57F40746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Módulos instruccionales interactivos </w:t>
            </w:r>
          </w:p>
          <w:p w14:paraId="0902B666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481C2BEA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Videos instruccionales</w:t>
            </w:r>
          </w:p>
          <w:p w14:paraId="7BCD8712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16C3C04B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EB4AF5F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Videoconferencias </w:t>
            </w:r>
            <w:r w:rsidRPr="00863F31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863F31">
              <w:rPr>
                <w:rFonts w:ascii="Arial Narrow" w:hAnsi="Arial Narrow"/>
              </w:rPr>
              <w:t xml:space="preserve"> y sincrónicas</w:t>
            </w:r>
          </w:p>
          <w:p w14:paraId="24B8BD35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Foros:</w:t>
            </w:r>
            <w:r w:rsidRPr="00863F31">
              <w:rPr>
                <w:rFonts w:ascii="Arial Narrow" w:hAnsi="Arial Narrow" w:cs="Arial"/>
              </w:rPr>
              <w:t xml:space="preserve"> 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5E3F7118" w14:textId="77777777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instrucción asistida por la computadora o algún medio electrónico.</w:t>
            </w:r>
          </w:p>
          <w:p w14:paraId="42E29390" w14:textId="3562DCDA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 Resolución de problemas con el uso de programado de hojas electrónicas.</w:t>
            </w:r>
          </w:p>
          <w:p w14:paraId="575FE8C1" w14:textId="0943E018" w:rsidR="006B0B3F" w:rsidRPr="00863F31" w:rsidRDefault="006B0B3F" w:rsidP="00771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electrónico.</w:t>
            </w:r>
          </w:p>
        </w:tc>
      </w:tr>
    </w:tbl>
    <w:p w14:paraId="164AAD5D" w14:textId="77777777" w:rsidR="006B0B3F" w:rsidRDefault="006B0B3F">
      <w:r>
        <w:br w:type="page"/>
      </w: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0"/>
      </w:tblGrid>
      <w:tr w:rsidR="00863F31" w:rsidRPr="00337CBE" w14:paraId="329F96FA" w14:textId="15712A0E" w:rsidTr="00C2066C">
        <w:trPr>
          <w:trHeight w:val="494"/>
        </w:trPr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0AD1" w14:textId="0C5E3CAF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7200"/>
        <w:gridCol w:w="1320"/>
        <w:gridCol w:w="1320"/>
        <w:gridCol w:w="1320"/>
      </w:tblGrid>
      <w:tr w:rsidR="006B0B3F" w:rsidRPr="00AC17BB" w14:paraId="0F07F937" w14:textId="130D365D" w:rsidTr="006B0B3F">
        <w:tc>
          <w:tcPr>
            <w:tcW w:w="7200" w:type="dxa"/>
            <w:shd w:val="clear" w:color="auto" w:fill="D9D9D9" w:themeFill="background1" w:themeFillShade="D9"/>
          </w:tcPr>
          <w:p w14:paraId="2F6FC97E" w14:textId="4016DB02" w:rsidR="006B0B3F" w:rsidRPr="00AC17BB" w:rsidRDefault="006B0B3F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6E91A3FD" w14:textId="77777777" w:rsidR="006B0B3F" w:rsidRPr="00AC17BB" w:rsidRDefault="006B0B3F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644D0A1C" w14:textId="77777777" w:rsidR="006B0B3F" w:rsidRPr="00AC17BB" w:rsidRDefault="006B0B3F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CEB4DB2" w14:textId="06DCFBD5" w:rsidR="006B0B3F" w:rsidRDefault="006B0B3F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6B0B3F" w:rsidRPr="00AC17BB" w14:paraId="796979D6" w14:textId="6A10A38B" w:rsidTr="006B0B3F">
        <w:tc>
          <w:tcPr>
            <w:tcW w:w="7200" w:type="dxa"/>
          </w:tcPr>
          <w:p w14:paraId="3FF05B11" w14:textId="77777777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320" w:type="dxa"/>
          </w:tcPr>
          <w:p w14:paraId="02E27BD6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45B5805B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66B5C29D" w14:textId="77777777" w:rsidR="006B0B3F" w:rsidRDefault="006B0B3F" w:rsidP="00863F31">
            <w:pPr>
              <w:pStyle w:val="Default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B5EEB55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6B0B3F" w:rsidRPr="00AC17BB" w14:paraId="135BF650" w14:textId="2376DB92" w:rsidTr="006B0B3F">
        <w:tc>
          <w:tcPr>
            <w:tcW w:w="7200" w:type="dxa"/>
          </w:tcPr>
          <w:p w14:paraId="5E73FEA0" w14:textId="77777777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320" w:type="dxa"/>
          </w:tcPr>
          <w:p w14:paraId="22FC31F1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4014C105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21D232A7" w14:textId="65F7EFA1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6B0B3F" w:rsidRPr="00AC17BB" w14:paraId="087DC013" w14:textId="17EDF681" w:rsidTr="006B0B3F">
        <w:tc>
          <w:tcPr>
            <w:tcW w:w="7200" w:type="dxa"/>
          </w:tcPr>
          <w:p w14:paraId="4A05186E" w14:textId="601F41CC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</w:t>
            </w:r>
            <w:r>
              <w:rPr>
                <w:rFonts w:ascii="Arial Narrow" w:hAnsi="Arial Narrow"/>
                <w:lang w:val="es-PR"/>
              </w:rPr>
              <w:t>.</w:t>
            </w:r>
          </w:p>
        </w:tc>
        <w:tc>
          <w:tcPr>
            <w:tcW w:w="1320" w:type="dxa"/>
          </w:tcPr>
          <w:p w14:paraId="408704BC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16CD72CC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1F16716E" w14:textId="73B0D139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B0B3F" w:rsidRPr="00AC17BB" w14:paraId="11FBCCD1" w14:textId="3B0A5623" w:rsidTr="006B0B3F">
        <w:tc>
          <w:tcPr>
            <w:tcW w:w="7200" w:type="dxa"/>
          </w:tcPr>
          <w:p w14:paraId="5B3E4269" w14:textId="77777777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320" w:type="dxa"/>
          </w:tcPr>
          <w:p w14:paraId="7E86A81B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0EEC1E94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16975A01" w14:textId="61575A76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B0B3F" w:rsidRPr="00AC17BB" w14:paraId="419CFCCF" w14:textId="4764914F" w:rsidTr="006B0B3F">
        <w:tc>
          <w:tcPr>
            <w:tcW w:w="7200" w:type="dxa"/>
          </w:tcPr>
          <w:p w14:paraId="03ED2441" w14:textId="77777777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320" w:type="dxa"/>
          </w:tcPr>
          <w:p w14:paraId="3B94792D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320" w:type="dxa"/>
          </w:tcPr>
          <w:p w14:paraId="49F98997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78275F55" w14:textId="6F364A4A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B0B3F" w:rsidRPr="00AC17BB" w14:paraId="230FE5C7" w14:textId="198145B4" w:rsidTr="006B0B3F">
        <w:tc>
          <w:tcPr>
            <w:tcW w:w="7200" w:type="dxa"/>
          </w:tcPr>
          <w:p w14:paraId="3E9B73CE" w14:textId="77777777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320" w:type="dxa"/>
          </w:tcPr>
          <w:p w14:paraId="6CB6812C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320" w:type="dxa"/>
          </w:tcPr>
          <w:p w14:paraId="30865EEF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0F5BCDC1" w14:textId="10CCE88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B0B3F" w:rsidRPr="00AC17BB" w14:paraId="4C1FC348" w14:textId="4FF123E7" w:rsidTr="006B0B3F">
        <w:tc>
          <w:tcPr>
            <w:tcW w:w="7200" w:type="dxa"/>
          </w:tcPr>
          <w:p w14:paraId="1D71285C" w14:textId="051D0E4C" w:rsidR="006B0B3F" w:rsidRPr="00AC17BB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Libro de texto que incluye acceso a la plataforma digital o en línea del libro</w:t>
            </w:r>
          </w:p>
        </w:tc>
        <w:tc>
          <w:tcPr>
            <w:tcW w:w="1320" w:type="dxa"/>
          </w:tcPr>
          <w:p w14:paraId="1926049A" w14:textId="1B0276F3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628B3DBE" w14:textId="2371899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320" w:type="dxa"/>
          </w:tcPr>
          <w:p w14:paraId="70FB36FF" w14:textId="20014F66" w:rsidR="006B0B3F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B0B3F" w:rsidRPr="00AC17BB" w14:paraId="1CB10A0A" w14:textId="7079CBEC" w:rsidTr="006B0B3F">
        <w:tc>
          <w:tcPr>
            <w:tcW w:w="7200" w:type="dxa"/>
          </w:tcPr>
          <w:p w14:paraId="04304811" w14:textId="77777777" w:rsidR="006B0B3F" w:rsidRPr="002E6BCF" w:rsidRDefault="006B0B3F" w:rsidP="00863F31">
            <w:pPr>
              <w:pStyle w:val="Default"/>
              <w:rPr>
                <w:rFonts w:ascii="Arial Narrow" w:hAnsi="Arial Narrow"/>
              </w:rPr>
            </w:pPr>
            <w:r w:rsidRPr="002E6BCF">
              <w:rPr>
                <w:rFonts w:ascii="Arial Narrow" w:hAnsi="Arial Narrow"/>
              </w:rPr>
              <w:t>FASB Accounting Standards Codification</w:t>
            </w:r>
          </w:p>
          <w:p w14:paraId="7AFA58A5" w14:textId="4DD679E9" w:rsidR="006B0B3F" w:rsidRPr="007328F1" w:rsidRDefault="00062B71" w:rsidP="00863F31">
            <w:pPr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hyperlink r:id="rId8" w:history="1">
              <w:r w:rsidR="006B0B3F" w:rsidRPr="00933E97">
                <w:rPr>
                  <w:rStyle w:val="Hyperlink"/>
                  <w:rFonts w:ascii="Arial Narrow" w:eastAsia="Times New Roman" w:hAnsi="Arial Narrow" w:cs="Calibri"/>
                  <w:sz w:val="24"/>
                  <w:szCs w:val="24"/>
                  <w:lang w:val="en-US"/>
                </w:rPr>
                <w:t>http://www2.aaahq.org/ascLogin.cfm</w:t>
              </w:r>
            </w:hyperlink>
          </w:p>
        </w:tc>
        <w:tc>
          <w:tcPr>
            <w:tcW w:w="1320" w:type="dxa"/>
          </w:tcPr>
          <w:p w14:paraId="71279B37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177A6EC4" w14:textId="77777777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0B90FD2C" w14:textId="6D4FB30D" w:rsidR="006B0B3F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6B0B3F" w:rsidRPr="00AC17BB" w14:paraId="5DC48065" w14:textId="544D2BC4" w:rsidTr="006B0B3F">
        <w:tc>
          <w:tcPr>
            <w:tcW w:w="7200" w:type="dxa"/>
          </w:tcPr>
          <w:p w14:paraId="5B2D56BF" w14:textId="567E8C44" w:rsidR="006B0B3F" w:rsidRDefault="006B0B3F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Sitio web del Departamento de Contabilidad</w:t>
            </w:r>
          </w:p>
        </w:tc>
        <w:tc>
          <w:tcPr>
            <w:tcW w:w="1320" w:type="dxa"/>
          </w:tcPr>
          <w:p w14:paraId="7565B19A" w14:textId="435BA44C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595B6771" w14:textId="13671A08" w:rsidR="006B0B3F" w:rsidRPr="00AC17BB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320" w:type="dxa"/>
          </w:tcPr>
          <w:p w14:paraId="2F94F38B" w14:textId="2594E000" w:rsidR="006B0B3F" w:rsidRDefault="006B0B3F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Institución</w:t>
            </w:r>
          </w:p>
        </w:tc>
      </w:tr>
    </w:tbl>
    <w:tbl>
      <w:tblPr>
        <w:tblW w:w="1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3718"/>
        <w:gridCol w:w="3719"/>
      </w:tblGrid>
      <w:tr w:rsidR="00A93864" w:rsidRPr="00337CBE" w14:paraId="6B3F0EB2" w14:textId="77777777" w:rsidTr="006B0B3F">
        <w:trPr>
          <w:trHeight w:val="200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33EECD19" w14:textId="102E1268" w:rsidR="00A93864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A93864"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6B0B3F" w:rsidRPr="00AC17BB" w14:paraId="5E008FFC" w14:textId="77777777" w:rsidTr="006B0B3F">
        <w:trPr>
          <w:trHeight w:val="20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0AEB" w14:textId="278285E2" w:rsidR="006B0B3F" w:rsidRPr="00AC17BB" w:rsidRDefault="006B0B3F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1E8B6D" w14:textId="77777777" w:rsidR="006B0B3F" w:rsidRPr="00AC17BB" w:rsidRDefault="006B0B3F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7A7C55" w14:textId="77777777" w:rsidR="006B0B3F" w:rsidRPr="00AC17BB" w:rsidRDefault="006B0B3F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6B0B3F" w:rsidRPr="00AC17BB" w14:paraId="0A51CA79" w14:textId="77777777" w:rsidTr="006B0B3F">
        <w:trPr>
          <w:trHeight w:val="317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6C89" w14:textId="6FCB231E" w:rsidR="006B0B3F" w:rsidRPr="00A93864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CB942" w14:textId="57383D23" w:rsidR="006B0B3F" w:rsidRPr="00AC17BB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B1A03" w14:textId="5EA2BF63" w:rsidR="006B0B3F" w:rsidRPr="00AC17BB" w:rsidRDefault="006B0B3F" w:rsidP="006B0B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</w:tr>
      <w:tr w:rsidR="006B0B3F" w:rsidRPr="00AC17BB" w14:paraId="00A85B8C" w14:textId="77777777" w:rsidTr="006B0B3F">
        <w:trPr>
          <w:trHeight w:val="1479"/>
        </w:trPr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402C" w14:textId="7D46FF77" w:rsidR="006B0B3F" w:rsidRPr="00A93864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EA59B" w14:textId="26B470E2" w:rsidR="006B0B3F" w:rsidRPr="00421752" w:rsidRDefault="006B0B3F" w:rsidP="006B0B3F">
            <w:pPr>
              <w:spacing w:after="0" w:line="240" w:lineRule="auto"/>
              <w:ind w:left="69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E8670" w14:textId="06021A62" w:rsidR="006B0B3F" w:rsidRPr="00AC17BB" w:rsidRDefault="006B0B3F" w:rsidP="006B0B3F">
            <w:pPr>
              <w:spacing w:after="0" w:line="240" w:lineRule="auto"/>
              <w:ind w:left="75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</w:tr>
      <w:tr w:rsidR="006B0B3F" w:rsidRPr="00AC17BB" w14:paraId="33CD0144" w14:textId="77777777" w:rsidTr="006B0B3F">
        <w:trPr>
          <w:trHeight w:val="147"/>
        </w:trPr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072F" w14:textId="77777777" w:rsidR="00183A32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proofErr w:type="gramStart"/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…………...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</w:p>
          <w:p w14:paraId="6D23C1F7" w14:textId="47E88855" w:rsidR="006B0B3F" w:rsidRPr="00421752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920FC" w14:textId="77777777" w:rsidR="006B0B3F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proofErr w:type="gramStart"/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…………...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D511F3" w14:textId="5AF77BE7" w:rsidR="00183A32" w:rsidRPr="00421752" w:rsidRDefault="00183A32" w:rsidP="006B0B3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015B9D" w14:textId="77777777" w:rsidR="006B0B3F" w:rsidRDefault="006B0B3F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proofErr w:type="gramStart"/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…………...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1E5C6F" w14:textId="6D535C1B" w:rsidR="00183A32" w:rsidRPr="00AC17BB" w:rsidRDefault="00183A32" w:rsidP="006B0B3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0B3F" w:rsidRPr="00421752" w14:paraId="3B1BD7F2" w14:textId="77777777" w:rsidTr="006B0B3F">
        <w:trPr>
          <w:trHeight w:val="200"/>
        </w:trPr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80C3" w14:textId="77777777" w:rsidR="006B0B3F" w:rsidRDefault="006B0B3F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14:paraId="67F8831D" w14:textId="77777777" w:rsidR="006B0B3F" w:rsidRDefault="006B0B3F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>Los exámenes se ofrecerán viernes en la modalidad presencial, en fechas previamente establecidas en el sílabo del curso.</w:t>
            </w:r>
          </w:p>
          <w:p w14:paraId="33AFDFEA" w14:textId="78E7997F" w:rsidR="006B0B3F" w:rsidRPr="007328F1" w:rsidRDefault="006B0B3F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A0939" w14:textId="77777777" w:rsidR="006B0B3F" w:rsidRDefault="006B0B3F" w:rsidP="007328F1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</w:p>
          <w:p w14:paraId="62F154B1" w14:textId="56D86B52" w:rsidR="006B0B3F" w:rsidRPr="007328F1" w:rsidRDefault="006B0B3F" w:rsidP="007328F1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>Los exámenes se ofrecerán viernes en la modalidad presencial, en fechas previamente establecidas en el sílabo del curso.</w:t>
            </w:r>
          </w:p>
        </w:tc>
        <w:tc>
          <w:tcPr>
            <w:tcW w:w="3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C237C" w14:textId="77777777" w:rsidR="006B0B3F" w:rsidRDefault="006B0B3F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  <w:p w14:paraId="09DB91A5" w14:textId="2EBB9E32" w:rsidR="006B0B3F" w:rsidRPr="007328F1" w:rsidRDefault="006B0B3F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>Los exámenes se ofrecerán viernes en la modalidad en línea, en fechas previamente establecidas en el sílabo del curso</w:t>
            </w:r>
            <w:r w:rsidR="00054171">
              <w:rPr>
                <w:rFonts w:ascii="Arial Narrow" w:eastAsia="Times New Roman" w:hAnsi="Arial Narrow" w:cs="Times New Roman"/>
              </w:rPr>
              <w:t xml:space="preserve"> y serán custodiados.</w:t>
            </w:r>
          </w:p>
          <w:p w14:paraId="4474422F" w14:textId="702656C4" w:rsidR="006B0B3F" w:rsidRPr="007328F1" w:rsidRDefault="006B0B3F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14:paraId="0403F960" w14:textId="6EB0B60F" w:rsidR="006B0B3F" w:rsidRDefault="006B0B3F"/>
    <w:p w14:paraId="48FDB3D3" w14:textId="77777777" w:rsidR="00183A32" w:rsidRDefault="00183A32">
      <w:r>
        <w:br w:type="page"/>
      </w:r>
    </w:p>
    <w:tbl>
      <w:tblPr>
        <w:tblW w:w="1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5"/>
      </w:tblGrid>
      <w:tr w:rsidR="00640797" w:rsidRPr="00337CBE" w14:paraId="3A6E414E" w14:textId="77777777" w:rsidTr="00B75540">
        <w:trPr>
          <w:trHeight w:val="467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6AFE5776" w14:textId="5C5BCE14" w:rsidR="00640797" w:rsidRPr="00337CBE" w:rsidRDefault="00640797" w:rsidP="00B755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ACOMODO RAZONABLE</w:t>
            </w:r>
          </w:p>
        </w:tc>
      </w:tr>
      <w:tr w:rsidR="00863F31" w:rsidRPr="00863F31" w14:paraId="2DC2DD57" w14:textId="77777777" w:rsidTr="00C2066C">
        <w:trPr>
          <w:trHeight w:val="2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49953" w14:textId="77777777" w:rsidR="00863F31" w:rsidRDefault="00863F31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  <w:r w:rsidRPr="00863F31">
              <w:rPr>
                <w:rFonts w:ascii="Arial Narrow" w:hAnsi="Arial Narrow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863F31">
              <w:rPr>
                <w:rFonts w:ascii="Arial Narrow" w:hAnsi="Arial Narrow"/>
                <w:kern w:val="28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Servicios a Estudiantes con impedimentos (OSEI) del Decanato de Estudiantes. También aquellos estudiantes con necesidades especiales de algún tipo de asistencia o acomodo deben comunicarse con el (la) profesor(a).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863F31">
              <w:rPr>
                <w:rFonts w:ascii="Arial Narrow" w:hAnsi="Arial Narrow"/>
                <w:lang w:val="es-PR"/>
              </w:rPr>
              <w:t xml:space="preserve">Oficina de Servicios a Estudiantes con Impedimentos (OSEI) del Decanato de Estudiantes,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 xml:space="preserve">a fin de fijar una cita para </w:t>
            </w:r>
            <w:proofErr w:type="gramStart"/>
            <w:r w:rsidRPr="00863F31">
              <w:rPr>
                <w:rFonts w:ascii="Arial Narrow" w:hAnsi="Arial Narrow"/>
                <w:color w:val="000000"/>
                <w:lang w:val="es-ES"/>
              </w:rPr>
              <w:t>dar inicio a</w:t>
            </w:r>
            <w:proofErr w:type="gramEnd"/>
            <w:r w:rsidRPr="00863F31">
              <w:rPr>
                <w:rFonts w:ascii="Arial Narrow" w:hAnsi="Arial Narrow"/>
                <w:color w:val="000000"/>
                <w:lang w:val="es-ES"/>
              </w:rPr>
              <w:t xml:space="preserve"> los servicios pertinentes.</w:t>
            </w:r>
          </w:p>
          <w:p w14:paraId="7297346B" w14:textId="4EFDDF84" w:rsidR="00640797" w:rsidRPr="00863F31" w:rsidRDefault="00640797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863F31" w:rsidRPr="00337CBE" w14:paraId="7754BA9F" w14:textId="77777777" w:rsidTr="00C2066C">
        <w:trPr>
          <w:trHeight w:val="467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27B21ECF" w14:textId="7C214630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863F31" w:rsidRPr="00863F31" w14:paraId="711624FF" w14:textId="77777777" w:rsidTr="00C2066C">
        <w:trPr>
          <w:trHeight w:val="2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1BFC0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</w:p>
          <w:p w14:paraId="7D9F9B82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41EB08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>Para velar por la integridad y seguridad de los datos de los usuarios, todo curso híbrido</w:t>
            </w:r>
            <w:r>
              <w:rPr>
                <w:rFonts w:ascii="Arial Narrow" w:hAnsi="Arial Narrow"/>
                <w:b/>
                <w:sz w:val="22"/>
                <w:szCs w:val="22"/>
                <w:lang w:val="es-PR"/>
              </w:rPr>
              <w:t>, a distancia</w:t>
            </w: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 xml:space="preserve"> y en línea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  <w:p w14:paraId="08885449" w14:textId="329ABC98" w:rsidR="00863F31" w:rsidRPr="00863F31" w:rsidRDefault="00863F31" w:rsidP="00863F31">
            <w:pPr>
              <w:pStyle w:val="Default"/>
              <w:ind w:left="67" w:right="69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s-PR"/>
              </w:rPr>
            </w:pPr>
          </w:p>
        </w:tc>
      </w:tr>
      <w:tr w:rsidR="00863F31" w:rsidRPr="00AC17BB" w14:paraId="1301AB9D" w14:textId="77777777" w:rsidTr="00C2066C">
        <w:trPr>
          <w:trHeight w:val="2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14:paraId="7996387A" w14:textId="121AFD63" w:rsidR="00863F31" w:rsidRPr="00B0022E" w:rsidRDefault="00863F31" w:rsidP="00863F31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863F31" w:rsidRPr="00AC17BB" w14:paraId="6774D61E" w14:textId="77777777" w:rsidTr="00C2066C">
        <w:trPr>
          <w:trHeight w:val="2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CF28B" w14:textId="77777777" w:rsidR="00863F31" w:rsidRDefault="00863F31" w:rsidP="00863F31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  <w:r w:rsidRPr="00863F31">
              <w:rPr>
                <w:rFonts w:ascii="Arial Narrow" w:hAnsi="Arial Narrow"/>
                <w:bCs/>
                <w:color w:val="000000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  <w:p w14:paraId="18509BC7" w14:textId="63EAD93D" w:rsidR="00863F31" w:rsidRPr="00863F31" w:rsidRDefault="00863F31" w:rsidP="00863F31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</w:p>
        </w:tc>
      </w:tr>
      <w:tr w:rsidR="00863F31" w:rsidRPr="00337CBE" w14:paraId="2A937E95" w14:textId="77777777" w:rsidTr="00C2066C">
        <w:trPr>
          <w:trHeight w:val="3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084718EA" w14:textId="0C4D0587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863F31" w:rsidRPr="00AC17BB" w14:paraId="2ADC4FC7" w14:textId="77777777" w:rsidTr="00C2066C">
        <w:trPr>
          <w:trHeight w:val="3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38611" w14:textId="77777777" w:rsidR="00863F31" w:rsidRDefault="00863F31" w:rsidP="007328F1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 w:val="24"/>
                <w:szCs w:val="28"/>
              </w:rPr>
            </w:pPr>
            <w:r>
              <w:rPr>
                <w:rFonts w:ascii="Arial Narrow" w:hAnsi="Arial Narrow"/>
                <w:iCs/>
                <w:sz w:val="24"/>
                <w:szCs w:val="28"/>
              </w:rPr>
              <w:t>S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e utiliza el sistema de notas por letras: A, B, C, D</w:t>
            </w:r>
            <w:r>
              <w:rPr>
                <w:rFonts w:ascii="Arial Narrow" w:hAnsi="Arial Narrow"/>
                <w:iCs/>
                <w:sz w:val="24"/>
                <w:szCs w:val="28"/>
              </w:rPr>
              <w:t xml:space="preserve"> y 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F</w:t>
            </w:r>
          </w:p>
          <w:p w14:paraId="02C06B2D" w14:textId="202B0535" w:rsidR="00640797" w:rsidRPr="00B165FC" w:rsidRDefault="00640797" w:rsidP="007328F1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Cs w:val="24"/>
              </w:rPr>
            </w:pPr>
          </w:p>
        </w:tc>
      </w:tr>
    </w:tbl>
    <w:p w14:paraId="1FAF110D" w14:textId="77777777" w:rsidR="00037227" w:rsidRDefault="00037227">
      <w:r>
        <w:br w:type="page"/>
      </w:r>
    </w:p>
    <w:tbl>
      <w:tblPr>
        <w:tblW w:w="1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5"/>
      </w:tblGrid>
      <w:tr w:rsidR="00863F31" w:rsidRPr="00337CBE" w14:paraId="090F1614" w14:textId="77777777" w:rsidTr="00C2066C">
        <w:trPr>
          <w:trHeight w:val="18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60ED4223" w14:textId="114859F0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BIBLIOGRAFÍA</w:t>
            </w:r>
          </w:p>
        </w:tc>
      </w:tr>
      <w:tr w:rsidR="00863F31" w:rsidRPr="0078194E" w14:paraId="7D3A4798" w14:textId="77777777" w:rsidTr="00C2066C">
        <w:trPr>
          <w:trHeight w:val="800"/>
        </w:trPr>
        <w:tc>
          <w:tcPr>
            <w:tcW w:w="1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1D" w14:textId="30ECF461" w:rsidR="00863F31" w:rsidRDefault="00863F31" w:rsidP="00771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18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>REVISTAS DE CONTABILIDAD EN LÍNEA</w:t>
            </w:r>
          </w:p>
          <w:p w14:paraId="66A1A575" w14:textId="1172FDCE" w:rsidR="00863F31" w:rsidRPr="00337CBE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Journal of Accountancy:  </w:t>
            </w:r>
            <w:hyperlink r:id="rId9" w:history="1">
              <w:r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www.journalofaccountancy.com</w:t>
              </w:r>
            </w:hyperlink>
          </w:p>
          <w:p w14:paraId="2F00FD29" w14:textId="77777777" w:rsidR="00863F31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3A4F89D0" w14:textId="53B70328" w:rsidR="00863F31" w:rsidRPr="00337CBE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The CPA Journal:   </w:t>
            </w:r>
            <w:hyperlink r:id="rId10" w:history="1">
              <w:r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www.cpajournal.com</w:t>
              </w:r>
            </w:hyperlink>
          </w:p>
          <w:p w14:paraId="10D07E5B" w14:textId="4AABC2E0" w:rsidR="00863F31" w:rsidRPr="00337CBE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2E9B5959" w14:textId="698B295B" w:rsidR="00863F31" w:rsidRDefault="00863F31" w:rsidP="00771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>REFERENCIAS ELECTRÓNICAS</w:t>
            </w:r>
            <w:r w:rsidR="00B10AAA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– por temas</w:t>
            </w: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 xml:space="preserve">(todas disponibles de manera remota a través de </w:t>
            </w:r>
            <w:r>
              <w:rPr>
                <w:rFonts w:ascii="Arial Narrow" w:eastAsia="Times New Roman" w:hAnsi="Arial Narrow" w:cs="Arial"/>
                <w:b/>
                <w:bCs/>
              </w:rPr>
              <w:t>la I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nternet)</w:t>
            </w:r>
          </w:p>
          <w:p w14:paraId="18BF8240" w14:textId="7DCAB175" w:rsidR="00863F31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391F8CC9" w14:textId="77777777" w:rsidR="00B10AAA" w:rsidRDefault="00B10AAA" w:rsidP="00B10AAA">
            <w:pPr>
              <w:spacing w:after="0" w:line="240" w:lineRule="auto"/>
              <w:ind w:left="330"/>
              <w:rPr>
                <w:rStyle w:val="Hyperlink"/>
                <w:rFonts w:ascii="Arial Narrow" w:eastAsia="Times New Roman" w:hAnsi="Arial Narrow" w:cs="Arial"/>
              </w:rPr>
            </w:pPr>
            <w:r w:rsidRPr="00337CBE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Deloitte. (2020). Accounting Considerations Related to Coronavirus Disease 2019. </w:t>
            </w:r>
            <w:hyperlink r:id="rId11" w:history="1">
              <w:r w:rsidRPr="008B0AF1">
                <w:rPr>
                  <w:rStyle w:val="Hyperlink"/>
                  <w:rFonts w:ascii="Arial Narrow" w:eastAsia="Times New Roman" w:hAnsi="Arial Narrow" w:cs="Arial"/>
                </w:rPr>
                <w:t>https://www2.deloitte.com/content/dam/Deloitte/ng/Documents/audit/ng-IFRS-in-Focus-Coronavirus-Disease%202019.pdf</w:t>
              </w:r>
            </w:hyperlink>
          </w:p>
          <w:p w14:paraId="58B52A2B" w14:textId="77777777" w:rsidR="00B10AAA" w:rsidRPr="00B10AAA" w:rsidRDefault="00B10AAA" w:rsidP="00B10AAA">
            <w:pPr>
              <w:pStyle w:val="ListParagraph"/>
              <w:spacing w:after="0" w:line="240" w:lineRule="auto"/>
              <w:ind w:left="690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</w:p>
          <w:p w14:paraId="771B9D15" w14:textId="0237E4FA" w:rsidR="00B10AAA" w:rsidRDefault="00B10AAA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PENSIONES:</w:t>
            </w:r>
          </w:p>
          <w:p w14:paraId="0D5BA8EC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PWC. (2019).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Accounting for pension plans: Back to the basics with 5 things to know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12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https://www.pwc.com/us/en/cfodirect/accounting-podcast/accounting-for-pension-plans.html</w:t>
              </w:r>
            </w:hyperlink>
          </w:p>
          <w:p w14:paraId="106C2607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168594BD" w14:textId="59852948" w:rsidR="00735C79" w:rsidRDefault="00735C79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  <w:t>RECONOCIMIENTO DE INGRESO:</w:t>
            </w:r>
          </w:p>
          <w:p w14:paraId="1B704F0F" w14:textId="11AC0379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Deloitte. (2019).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A Roadmap to Applying the New Revenue Recognition Standard (July 2019)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13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https://dart.deloitte.com/USDART/ov-resource/8241a203-a4b3-11e7-bf31-d9d01b34306d.pdf</w:t>
              </w:r>
            </w:hyperlink>
          </w:p>
          <w:p w14:paraId="402B942E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648DA1CB" w14:textId="0B7ED2F9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EY. (2020). </w:t>
            </w:r>
            <w:r w:rsidRPr="00735C79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Financial Reporting Developments - Revenue from contracts with customers (ASC 606)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hyperlink r:id="rId14" w:history="1">
              <w:r w:rsidRPr="0078194E">
                <w:rPr>
                  <w:rStyle w:val="Hyperlink"/>
                  <w:rFonts w:ascii="Arial Narrow" w:hAnsi="Arial Narrow" w:cs="Arial"/>
                  <w:shd w:val="clear" w:color="auto" w:fill="F5F5F5"/>
                </w:rPr>
                <w:t>https://www.ey.com/en_us/assurance/accountinglink/financial-reporting-developments---revenue-from-contracts-with-c</w:t>
              </w:r>
            </w:hyperlink>
          </w:p>
          <w:p w14:paraId="30499B38" w14:textId="2D63C5B5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</w:rPr>
            </w:pPr>
          </w:p>
          <w:p w14:paraId="4B3C9645" w14:textId="5FAC6548" w:rsidR="00735C79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KPMG. (2019).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Handbook: Revenue recognition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>.</w:t>
            </w:r>
            <w:r w:rsidRPr="00735C79">
              <w:rPr>
                <w:lang w:val="en-US"/>
              </w:rPr>
              <w:t xml:space="preserve"> </w:t>
            </w:r>
            <w:hyperlink r:id="rId15" w:history="1">
              <w:r w:rsidRPr="003623BB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https://frv.kpmg.us/content/dam/frv/en/pdfs/2017/revenue-recognition-handbook.pdf</w:t>
              </w:r>
            </w:hyperlink>
          </w:p>
          <w:p w14:paraId="5D414802" w14:textId="77777777" w:rsidR="00735C79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67A47A1B" w14:textId="06F9B74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</w:rPr>
            </w:pP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PWC. (2020). </w:t>
            </w:r>
            <w:r w:rsidRPr="00735C79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Revenue from contracts with customers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hyperlink r:id="rId16" w:history="1">
              <w:r w:rsidRPr="0078194E">
                <w:rPr>
                  <w:rStyle w:val="Hyperlink"/>
                  <w:rFonts w:ascii="Arial Narrow" w:hAnsi="Arial Narrow" w:cs="Arial"/>
                  <w:shd w:val="clear" w:color="auto" w:fill="F5F5F5"/>
                </w:rPr>
                <w:t>https://www.pwc.com/us/en/cfodirect/assets/pdf/accounting-guides/pwc-revenue-recognition-global-guide.pdf</w:t>
              </w:r>
            </w:hyperlink>
          </w:p>
          <w:p w14:paraId="76BE946F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</w:rPr>
            </w:pPr>
          </w:p>
          <w:p w14:paraId="1C064B35" w14:textId="3554764D" w:rsidR="00735C79" w:rsidRDefault="00735C79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GASTO DE IMPUESTOS:</w:t>
            </w:r>
          </w:p>
          <w:p w14:paraId="55230601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KPMG. (2020).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Handbook: Accounting for income taxes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17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https://frv.kpmg.us/content/dam/frv/en/pdfs/2020/accounting-for-income-taxes.pdf</w:t>
              </w:r>
            </w:hyperlink>
          </w:p>
          <w:p w14:paraId="3BAA2523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095F8237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EY. (2019).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Financial Reporting Developments - Income taxes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18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https://www.ey.com/en_us/assurance/accountinglink/financial-reporting-developments---income-taxes-</w:t>
              </w:r>
            </w:hyperlink>
          </w:p>
          <w:p w14:paraId="044B3AFF" w14:textId="45E979E2" w:rsidR="00735C79" w:rsidRPr="0078194E" w:rsidRDefault="00735C79" w:rsidP="00735C79">
            <w:pPr>
              <w:pStyle w:val="ListParagraph"/>
              <w:spacing w:after="0" w:line="240" w:lineRule="auto"/>
              <w:ind w:left="690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</w:p>
          <w:p w14:paraId="72C7B8EE" w14:textId="77777777" w:rsidR="00735C79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PWC. (2019).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Income taxes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19" w:history="1">
              <w:r w:rsidRPr="003623BB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https://www.pwc.com/us/en/cfodirect/assets/pdf/accounting-guides/pwc-income-taxes-guide.pdf</w:t>
              </w:r>
            </w:hyperlink>
          </w:p>
          <w:p w14:paraId="28F5A500" w14:textId="77777777" w:rsidR="00735C79" w:rsidRPr="00D054FE" w:rsidRDefault="00735C79" w:rsidP="00735C79">
            <w:pPr>
              <w:pStyle w:val="ListParagraph"/>
              <w:spacing w:after="0" w:line="240" w:lineRule="auto"/>
              <w:ind w:left="690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</w:p>
          <w:p w14:paraId="478AEAF3" w14:textId="5E5C8558" w:rsidR="00735C79" w:rsidRDefault="00735C79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ARRENDAMIENTOS:</w:t>
            </w:r>
          </w:p>
          <w:p w14:paraId="737E69D4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Deloitte. (2019).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Applying the new lease accounting standard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20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https://www2.deloitte.com/content/dam/Deloitte/us/Documents/audit/us-aers-applying-the-new-lease-accounting-standard.pdf</w:t>
              </w:r>
            </w:hyperlink>
          </w:p>
          <w:p w14:paraId="53AEF229" w14:textId="77777777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798CEA61" w14:textId="77777777" w:rsidR="00735C79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KPMG. (2020).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Handbook: Leases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21" w:history="1">
              <w:r w:rsidRPr="003623BB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https://frv.kpmg.us/content/dam/frv/en/pdfs/2020/leases-handbook-2020.pdf</w:t>
              </w:r>
            </w:hyperlink>
          </w:p>
          <w:p w14:paraId="7CD3AFFD" w14:textId="77777777" w:rsidR="00735C79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51825F5A" w14:textId="1190D8A3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>WC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(2019). </w:t>
            </w:r>
            <w:r w:rsidRPr="00B10AAA">
              <w:rPr>
                <w:rFonts w:ascii="Arial Narrow" w:eastAsia="Times New Roman" w:hAnsi="Arial Narrow" w:cs="Arial"/>
                <w:color w:val="222222"/>
                <w:lang w:val="en-US"/>
              </w:rPr>
              <w:t>The Leases guide is a comprehensive resource for lessees and lessors accounting for leases under ASC 842, Leases.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 </w:t>
            </w:r>
            <w:hyperlink r:id="rId22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https://www.pwc.com/us/en/cfodirect/publications/accounting-guides/pwc-lease-accounting-guide-asc-842.html</w:t>
              </w:r>
            </w:hyperlink>
          </w:p>
          <w:p w14:paraId="1E746CCB" w14:textId="77777777" w:rsidR="00735C79" w:rsidRPr="0078194E" w:rsidRDefault="00735C79" w:rsidP="00735C79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</w:p>
          <w:p w14:paraId="354F8AC1" w14:textId="1D305B15" w:rsidR="00735C79" w:rsidRPr="00D054FE" w:rsidRDefault="00735C79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DERIVADOS:</w:t>
            </w:r>
          </w:p>
          <w:p w14:paraId="4CEC20E7" w14:textId="10A6701F" w:rsidR="00735C79" w:rsidRPr="0078194E" w:rsidRDefault="00735C79" w:rsidP="00735C79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Deloitte.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 (2015).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Introduction to Derivative Instruments 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1. </w:t>
            </w:r>
            <w:hyperlink r:id="rId23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https://www2.deloitte.com/content/dam/Deloitte/ie/Documents/FinancialServices/investmentmanagement/IE_2016_Introduction%20to%20Derivative%20Instruments_Part1.pdf</w:t>
              </w:r>
            </w:hyperlink>
          </w:p>
          <w:p w14:paraId="439871B4" w14:textId="77777777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221EC694" w14:textId="22A5897E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Deloitte.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 (2015).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Introduction to Derivative Instruments 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2. </w:t>
            </w:r>
            <w:hyperlink r:id="rId24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https://www2.deloitte.com/content/dam/Deloitte/ie/Documents/FinancialServices/investmentmanagement/IE_2015_Linkn_Learn2015_Introduction%20to%20Derivative%20Instruments%20%20Part%202.pdf</w:t>
              </w:r>
            </w:hyperlink>
          </w:p>
          <w:p w14:paraId="1E07149A" w14:textId="0E36B6A8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640A0D44" w14:textId="2532C6F0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lastRenderedPageBreak/>
              <w:t xml:space="preserve">EY. (2019).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Financial Reporting Developments - Derivatives and hedging (after the adoption of ASU 2017-12, Targeted Improvements to Accounting for Hedging Activities)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25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https://www.ey.com/en_us/assurance/accountinglink/financial-reporting-developments---derivatives-and-hedging--afte</w:t>
              </w:r>
            </w:hyperlink>
          </w:p>
          <w:p w14:paraId="5A8C38D8" w14:textId="77777777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73D7F562" w14:textId="74177F33" w:rsidR="00B10AAA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KPMG. (2019).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Derivatives and hedging accounting handbook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26" w:history="1">
              <w:r w:rsidRPr="0078194E">
                <w:rPr>
                  <w:rStyle w:val="Hyperlink"/>
                  <w:rFonts w:ascii="Arial Narrow" w:eastAsia="Times New Roman" w:hAnsi="Arial Narrow" w:cs="Arial"/>
                </w:rPr>
                <w:t>https://frv.kpmg.us/content/dam/frv/en/pdfs/2018/R25_Derivatives_and_Hedging_Handbook.pdf</w:t>
              </w:r>
            </w:hyperlink>
          </w:p>
          <w:p w14:paraId="2BF7AF27" w14:textId="06D57019" w:rsidR="00735C79" w:rsidRPr="0078194E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453A2029" w14:textId="65A1E0B7" w:rsidR="00735C79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PWC. (2019). </w:t>
            </w:r>
            <w:r w:rsidRPr="00735C79">
              <w:rPr>
                <w:rFonts w:ascii="Arial Narrow" w:eastAsia="Times New Roman" w:hAnsi="Arial Narrow" w:cs="Arial"/>
                <w:color w:val="222222"/>
                <w:lang w:val="en-US"/>
              </w:rPr>
              <w:t>Derivatives and hedging</w:t>
            </w:r>
            <w:r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. </w:t>
            </w:r>
            <w:hyperlink r:id="rId27" w:history="1">
              <w:r w:rsidRPr="003623BB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https://www.pwc.com/us/en/cfodirect/assets/pdf/accounting-guides/pwc-derivative-hedge-accounting.pdf</w:t>
              </w:r>
            </w:hyperlink>
          </w:p>
          <w:p w14:paraId="6F098D1A" w14:textId="77777777" w:rsidR="00735C79" w:rsidRPr="00735C79" w:rsidRDefault="00735C79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3661210C" w14:textId="3D7293DD" w:rsidR="00863F31" w:rsidRPr="00337CBE" w:rsidRDefault="00863F31" w:rsidP="00771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EN BASES DE DATOS DE LA BIBLIOTECA</w:t>
            </w:r>
            <w:r w:rsidR="00424D31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– POR TEMAS</w:t>
            </w: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(todas disponibles de manera remota a través de las bases de datos del sistema de bibliotecas)</w:t>
            </w:r>
          </w:p>
          <w:p w14:paraId="6296C832" w14:textId="77777777" w:rsidR="00D054FE" w:rsidRPr="004E1DD7" w:rsidRDefault="00D054FE" w:rsidP="00D054FE">
            <w:pPr>
              <w:pStyle w:val="ListParagraph"/>
              <w:spacing w:after="0" w:line="240" w:lineRule="auto"/>
              <w:ind w:left="690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</w:p>
          <w:p w14:paraId="2B5D9F33" w14:textId="56F07A75" w:rsidR="00424D31" w:rsidRPr="00D054FE" w:rsidRDefault="00424D31" w:rsidP="00771C9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4E1DD7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  <w:t xml:space="preserve"> </w:t>
            </w: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PENSIONES:</w:t>
            </w:r>
          </w:p>
          <w:p w14:paraId="41B140D8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Bauman, M. P., &amp; Shaw, K. W. (2014). An Analysis of Critical Accounting Estimate Disclosures of Pension Assumptions. Accounting Horizons, 28(4), 819–845. https://doi.org/10.2308/acch-50823</w:t>
            </w:r>
          </w:p>
          <w:p w14:paraId="4047589D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E98DD71" w14:textId="3FA733EA" w:rsidR="00246C83" w:rsidRDefault="00246C83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246C83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Hanby</w:t>
            </w:r>
            <w:proofErr w:type="spellEnd"/>
            <w:r w:rsidRPr="00246C83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M., Tennant, R., Kanuri, S., &amp; McLeod, R. (2019). State Pension Reform: What Have They Accomplished? Journal of Accounting &amp; Finance (2158-3625), 19(8), 62–77. </w:t>
            </w:r>
            <w:hyperlink r:id="rId28" w:history="1">
              <w:r w:rsidRPr="003623BB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https://biblioteca.uprrp.edu:2074/10.33423/jaf.v19i8.2616</w:t>
              </w:r>
            </w:hyperlink>
          </w:p>
          <w:p w14:paraId="5BA7752C" w14:textId="77777777" w:rsidR="00246C83" w:rsidRPr="00246C83" w:rsidRDefault="00246C83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81165BA" w14:textId="245366BB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Kun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Yu. (2013). Does Recognition versus Disclosure Affect Value Relevance? Evidence from Pension Accounting. Accounting Review, 88(3), 1095–1127. https://doi.org/10.2308/accr-50381</w:t>
            </w:r>
          </w:p>
          <w:p w14:paraId="2A1FD55C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E786071" w14:textId="0C1F5C2D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Long, N. (2018). Economic trends: it is time to transfer defined benefit pensions? Accountancy, (1500), 1–3.</w:t>
            </w:r>
          </w:p>
          <w:p w14:paraId="35A97F3E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B18C104" w14:textId="06B05495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MILLER, P. B. W., &amp; BAHNSON, P. R. (2016). An encore: Using truth to untangle the Gordian Knot of pension accounting. Accounting Today, 30(7), 16–45.</w:t>
            </w:r>
          </w:p>
          <w:p w14:paraId="1A59EB9B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FB19ADC" w14:textId="517C0939" w:rsid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Thornburg, S. W., &amp;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Rosacker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K. M. (2018). Accounting, Politics, and Public Pensions. CPA Journal, 88(4), 28–30.</w:t>
            </w:r>
          </w:p>
          <w:p w14:paraId="7F154A37" w14:textId="77777777" w:rsidR="0000023F" w:rsidRDefault="0000023F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E7AA235" w14:textId="0AE7F100" w:rsidR="0000023F" w:rsidRPr="00424D31" w:rsidRDefault="0000023F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00023F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Tomolonis</w:t>
            </w:r>
            <w:proofErr w:type="spellEnd"/>
            <w:r w:rsidRPr="0000023F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P. A. (2019). Variations in Unfunded Pension Liabilities across U.S. States. Journal of Business &amp; Accounting, 12(1), 105–123.</w:t>
            </w:r>
          </w:p>
          <w:p w14:paraId="2B8EACAF" w14:textId="06BF38F9" w:rsid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84BBCE1" w14:textId="18FDF90F" w:rsidR="00424D31" w:rsidRPr="00D054FE" w:rsidRDefault="00424D31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  <w:t>RECONOCIMIENTO DE INGRESO:</w:t>
            </w:r>
          </w:p>
          <w:p w14:paraId="7C99C84B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Biondi, Y., 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Tsujiyama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E., Glover, J., Jenkins, N. T., Jorgensen, B., Lacey, J., &amp; 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Macve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R. (2014). 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‘Old Hens Make the Best Soup’: Accounting for the Earning Process and the IASB/FASB Attempts to Reform Revenue Recognition Accounting Standards. Accounting in Europe, 11(1), 13–33. https://doi.org/10.1080/17449480.2014.903718</w:t>
            </w:r>
          </w:p>
          <w:p w14:paraId="37F95C89" w14:textId="4ED8DCCA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09B1EDA" w14:textId="7BA48DD9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Henry, T. F., </w:t>
            </w:r>
            <w:proofErr w:type="spellStart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Mest</w:t>
            </w:r>
            <w:proofErr w:type="spellEnd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D. P., &amp; Safar, M. L. (2019). Pirate Wireless: Revenue Recognition in the Telecommunications Industry. Accounting Perspectives, 18(1), 7–12. </w:t>
            </w:r>
            <w:hyperlink r:id="rId29" w:history="1">
              <w:r w:rsidRPr="003623BB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https://biblioteca.uprrp.edu:2074/10.1111/1911-3838.12167</w:t>
              </w:r>
            </w:hyperlink>
          </w:p>
          <w:p w14:paraId="49231A2A" w14:textId="77777777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2A5ED2B" w14:textId="7EFC814D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Savage, A., Cerf, D. C., &amp; Barra, R. A. (2013). Accounting for the Public Interest: A Revenue Recognition Dilemma. Issues in Accounting Education, 28(3), 691–703. https://doi.org/10.2308/iace-50463</w:t>
            </w:r>
          </w:p>
          <w:p w14:paraId="71746E5D" w14:textId="77777777" w:rsid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963CB63" w14:textId="5CD5BB1D" w:rsidR="00424D31" w:rsidRPr="00D054FE" w:rsidRDefault="00424D31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GASTO DE IMPUESTOS:</w:t>
            </w:r>
          </w:p>
          <w:p w14:paraId="61CEC8D5" w14:textId="6BEE67F2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Mear</w:t>
            </w:r>
            <w:proofErr w:type="spellEnd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K., Bradbury, M., &amp; Hooks, J. (2020). Is the balance sheet method of deferred tax informative? Pacific Accounting Review (Emerald Group Publishing Limited), 32(1), 20–31. </w:t>
            </w:r>
            <w:hyperlink r:id="rId30" w:history="1">
              <w:r w:rsidRPr="003623BB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https://biblioteca.uprrp.edu:2074/10.1108/PAR-02-2019-0020</w:t>
              </w:r>
            </w:hyperlink>
          </w:p>
          <w:p w14:paraId="75C47C47" w14:textId="77777777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47E8E34" w14:textId="06E6DD91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Morris, J. L. (2017). Classification of Deferred Tax Assets and Deferred Tax Liabilities: An Evaluation of FASB’s Attempt at Standards Simplification. Journal of Accounting &amp; Finance (2158-3625), 17(8), 198–208.</w:t>
            </w:r>
          </w:p>
          <w:p w14:paraId="441BF115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6221079" w14:textId="5B721EFF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Tysiac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K. (2015). Changes Are Proposed for Accounting for Income Taxes Under FASB ASC. Tax Adviser, 46(4), 1–3.</w:t>
            </w:r>
          </w:p>
          <w:p w14:paraId="70F95556" w14:textId="1F03FCE6" w:rsidR="00424D31" w:rsidRPr="00D054FE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</w:p>
          <w:p w14:paraId="4C0730D6" w14:textId="7649AC22" w:rsidR="00424D31" w:rsidRPr="00D054FE" w:rsidRDefault="00424D31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</w:rPr>
              <w:t>ERRORES, CAMBIOS EN PRINCIPIO, ETC.:</w:t>
            </w:r>
          </w:p>
          <w:p w14:paraId="3E49B3D0" w14:textId="06FC6112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lastRenderedPageBreak/>
              <w:t>Acito</w:t>
            </w:r>
            <w:proofErr w:type="spellEnd"/>
            <w:r w:rsidRPr="003F6DD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A. A., Burks, J. J., &amp; Johnson, W. B. (2019). The Materiality of Accounting Errors: Evidence from SEC Comment Letters. Contemporary Accounting Research, 36(2), 839–868. </w:t>
            </w:r>
            <w:hyperlink r:id="rId31" w:history="1">
              <w:r w:rsidRPr="003623BB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https://biblioteca.uprrp.edu:2074/10.1111/1911-3846.12458</w:t>
              </w:r>
            </w:hyperlink>
          </w:p>
          <w:p w14:paraId="7059359D" w14:textId="77777777" w:rsidR="003F6DD0" w:rsidRDefault="003F6DD0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AE951B1" w14:textId="2F2BCC4F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Files, R., Sharp, N. Y., &amp; Thompson, A. M. (2014). Empirical Evidence on Repeat Restatements. Accounting Horizons, 28(1), 93–123. https://doi.org/10.2308/acch-50615</w:t>
            </w:r>
          </w:p>
          <w:p w14:paraId="55CDFFB7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3EFC5DE" w14:textId="66965008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McC</w:t>
            </w:r>
            <w:r w:rsidR="00D054F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ann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D. (2017). Estimates Change at Record Pace: A change in pension accounting is responsible for many of the revised assumptions. CFO, 33(10), 16.</w:t>
            </w:r>
          </w:p>
          <w:p w14:paraId="3BE108E2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086DC4B" w14:textId="2F89286F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Newton, N. J., Wang, D., &amp; Wilkins, M. S. (2013). Does a Lack of Choice Lead to Lower Quality? Evidence from Auditor Competition and Client Restatements. Auditing: A Journal of Practice &amp; Theory, 32(3), 31–67. https://doi.org/10.2308/ajpt-50461</w:t>
            </w:r>
          </w:p>
          <w:p w14:paraId="0A3DE2F7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0BE12D2" w14:textId="431EA8C8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Weng, T.-C., Chen, G.-Z., &amp; Chi, H.-Y. (2017). Effects of directors and </w:t>
            </w:r>
            <w:proofErr w:type="gram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officers</w:t>
            </w:r>
            <w:proofErr w:type="gram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liability insurance on accounting restatements. International Review of Economics &amp; Finance, 49, 437–452. https://doi.org/10.1016/j.iref.2017.02.010</w:t>
            </w:r>
          </w:p>
          <w:p w14:paraId="378A9B3C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6E4D981" w14:textId="0338DD33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Xu, Y., &amp; Zhao, L. (2016). An investigation of financial expertise improvement among CFOs hired following restatements. American Journal of Business (Emerald Group Publishing Limited), 31(2), 50–65. https://doi.org/10.1108/AJB-07-2015-0022</w:t>
            </w:r>
          </w:p>
          <w:p w14:paraId="7709BF92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B838959" w14:textId="009A11E9" w:rsidR="00424D31" w:rsidRPr="00D054FE" w:rsidRDefault="00424D31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ARRENDAMIENTOS:</w:t>
            </w:r>
          </w:p>
          <w:p w14:paraId="2038D1A8" w14:textId="4A00FE00" w:rsid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Anderson, G.,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Galaini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B., Gill, A., &amp; Thacker, S. (2016). Considerations for the Implementation of the New Lease-Accounting Standard: Internal Preparation for Lessors. Equipment Leasing &amp; Finance, 32(1), 48–49.</w:t>
            </w:r>
          </w:p>
          <w:p w14:paraId="231D3412" w14:textId="77777777" w:rsidR="00D054FE" w:rsidRPr="00424D31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ECFE7F5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Anderson, G.,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Elken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K., &amp;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Lezinski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J. (2016). Considerations for the Implementation of the New Lease-Accounting Standard: System Application Impacts. Equipment Leasing &amp; Finance, 32(2), 50–51.</w:t>
            </w:r>
          </w:p>
          <w:p w14:paraId="2AE0F62A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902783F" w14:textId="326369DC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Azores, P. (2018). Ensure Compliance: New accounting standards may bring vehicles’ leases on your balance sheet. Food &amp; Drink, 18(1), 145–147.</w:t>
            </w:r>
          </w:p>
          <w:p w14:paraId="0EEDF3DB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ECBE558" w14:textId="1350698D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Bascom, K.,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Elken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K., &amp; Halladay, S. (2016). Considerations for Implementing the New Lease Accounting Standard: Lease/Non-Lease Components. Equipment Leasing &amp; Finance, 32(6), 44–47.</w:t>
            </w:r>
          </w:p>
          <w:p w14:paraId="721F7DF1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F2A66B7" w14:textId="59B0E3C9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Beckman, J. K. (2016). FASB and IASB diverging perspectives on the new lessee accounting. International Journal of Managerial Finance, 12(2), 161–176. https://doi.org/10.1108/IJMF-08-2015-0161</w:t>
            </w:r>
          </w:p>
          <w:p w14:paraId="62F29033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8B35D29" w14:textId="3D2F8448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Berman, M., &amp; Hurd, R. (2016). A Preview of the New Accounting for Sale and Leasebacks. Equipment Leasing &amp; Finance, 32(5), 48–50.</w:t>
            </w:r>
          </w:p>
          <w:p w14:paraId="362B2276" w14:textId="3F9A004A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209DE5E" w14:textId="507AE045" w:rsidR="009061B3" w:rsidRPr="009061B3" w:rsidRDefault="009061B3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9061B3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Brooks, M., Hairston, S., &amp; Harter, C. (2020). Does manager ability influence the classification of lease arrangements? Journal of Applied Accounting Research, 21(1), 19–37. https://biblioteca.uprrp.edu:2074/10.1108/JAAR-02-2019-0028</w:t>
            </w:r>
          </w:p>
          <w:p w14:paraId="2409D047" w14:textId="0E92F0C3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D054FE">
              <w:rPr>
                <w:rFonts w:ascii="Arial Narrow" w:hAnsi="Arial Narrow" w:cs="Arial"/>
                <w:color w:val="333333"/>
                <w:shd w:val="clear" w:color="auto" w:fill="F5F5F5"/>
              </w:rPr>
              <w:t>Casabona</w:t>
            </w:r>
            <w:proofErr w:type="spellEnd"/>
            <w:r w:rsidRPr="00D054FE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P. A., &amp; </w:t>
            </w:r>
            <w:proofErr w:type="spellStart"/>
            <w:r w:rsidRPr="00D054FE">
              <w:rPr>
                <w:rFonts w:ascii="Arial Narrow" w:hAnsi="Arial Narrow" w:cs="Arial"/>
                <w:color w:val="333333"/>
                <w:shd w:val="clear" w:color="auto" w:fill="F5F5F5"/>
              </w:rPr>
              <w:t>Coville</w:t>
            </w:r>
            <w:proofErr w:type="spellEnd"/>
            <w:r w:rsidRPr="00D054FE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T. G. (2018). 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FASB’s New Accounting Standard on Leases: Overview of Some Key Requirements for Lessees and Implementation Considerations. Review of Business, 38(1), 59–73.</w:t>
            </w:r>
          </w:p>
          <w:p w14:paraId="39928082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787FA3A" w14:textId="2FD5D67F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Cornaggia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K. J., Franzen, L. A., &amp; 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Simin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T. T. (2013). 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Bringing leased assets onto the balance sheet. Journal of Corporate Finance, 22, 345–360. https://doi.org/10.1016/j.jcorpfin.2013.06.007</w:t>
            </w:r>
          </w:p>
          <w:p w14:paraId="1C100016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6975305" w14:textId="4458C1CF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Hunt, K. G. (2017). Balancing Act: How the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Fasb’s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New Lease Accounting Standard Could Affect Business Practices. Journal of Property Management, 82(6), 32–35.</w:t>
            </w:r>
          </w:p>
          <w:p w14:paraId="2BC528D3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658B964" w14:textId="2CE01653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Porter, J. C. (2016). A Refresher on Accounting for Leases. CPA Journal, 86(1), 24–33.</w:t>
            </w:r>
          </w:p>
          <w:p w14:paraId="64CCEB3F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469B963" w14:textId="70578B84" w:rsidR="00424D31" w:rsidRPr="00D054FE" w:rsidRDefault="00424D31" w:rsidP="00771C9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</w:pPr>
            <w:r w:rsidRPr="00D054FE">
              <w:rPr>
                <w:rFonts w:ascii="Arial Narrow" w:hAnsi="Arial Narrow" w:cs="Arial"/>
                <w:b/>
                <w:bCs/>
                <w:color w:val="333333"/>
                <w:shd w:val="clear" w:color="auto" w:fill="F5F5F5"/>
                <w:lang w:val="en-US"/>
              </w:rPr>
              <w:t>DERIVADOS:</w:t>
            </w:r>
          </w:p>
          <w:p w14:paraId="06F9DB38" w14:textId="607CE121" w:rsidR="00424D31" w:rsidRPr="0078194E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Abdel-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khalik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A. R., &amp; Chen, P.-C. (2015). Growth in financial derivatives: The public policy and accounting incentives. Journal of Accounting &amp; Public Policy, 34(3), 291–318. </w:t>
            </w:r>
            <w:hyperlink r:id="rId32" w:history="1">
              <w:r w:rsidR="00D054FE" w:rsidRPr="0078194E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https://doi.org/10.1016/j.jaccpubpol.2015.01.002</w:t>
              </w:r>
            </w:hyperlink>
          </w:p>
          <w:p w14:paraId="53F686C9" w14:textId="77777777" w:rsidR="00D054FE" w:rsidRPr="0078194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A5B9510" w14:textId="57F324C6" w:rsidR="00424D31" w:rsidRPr="00424D31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lastRenderedPageBreak/>
              <w:t>Alali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F.,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>Siregar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D., &amp;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>Anandarajan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A. </w:t>
            </w:r>
            <w:r w:rsidR="00424D31"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(2018). </w:t>
            </w:r>
            <w:r w:rsidR="00424D31"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 Test of the Functional Fixation Hypothesis Using Derivative Financial Instruments. Quarterly Journal of Finance &amp; Accounting, 56(1/2), 1–28.</w:t>
            </w:r>
          </w:p>
          <w:p w14:paraId="3E11995F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672569C" w14:textId="279FF1F2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Anbil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S.,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Saretto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A., &amp;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Tookes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H. (2016). Does hedging with derivatives reduce the market’s perception of credit risk? Working Papers -- U.S. Federal Reserve Board’s Finance &amp; Economic Discussion Series, 1–24. https://doi.org/10.17016/FEDS.2016.100</w:t>
            </w:r>
          </w:p>
          <w:p w14:paraId="401053EF" w14:textId="77777777" w:rsidR="00D054FE" w:rsidRPr="0078194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B7189AB" w14:textId="174152C0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Arias Moya, J., &amp; Yáñez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>Andrades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</w:rPr>
              <w:t xml:space="preserve">, V. (2016). Análisis y comparación de la norma contable local, americana e internacional en el tratamiento de activos derivados.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Activos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13(25), 107–134.</w:t>
            </w:r>
          </w:p>
          <w:p w14:paraId="7DD76507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DBB4DA5" w14:textId="4D70DCE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Beneda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N. L. (2016). Does Hedge Accounting Under SFAS 133 Increase the Information Content of Earnings: Evidence </w:t>
            </w:r>
            <w:proofErr w:type="gram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From</w:t>
            </w:r>
            <w:proofErr w:type="gram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the U.S. Oil and Gas Industry. Journal of Corporate Accounting &amp; Finance (Wiley), 27(5), 11–20. https://doi.org/10.1002/jcaf.22174</w:t>
            </w:r>
          </w:p>
          <w:p w14:paraId="33032269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59E9BB0" w14:textId="4B4BB8F3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Burgard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C., &amp;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Kjaer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M. (2017). Derivatives funding, </w:t>
            </w:r>
            <w:proofErr w:type="gram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netting</w:t>
            </w:r>
            <w:proofErr w:type="gram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and accounting. Risk, 30(3), 100–104.</w:t>
            </w:r>
          </w:p>
          <w:p w14:paraId="6E84853E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0C7AC97" w14:textId="1A4BF1B6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Kawaller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I. G. (2015). Evolution of Over-the-Counter Derivatives and Associated Accounting Considerations. (cover story). Bank Asset/Liability Management, 31(1), 1–4.</w:t>
            </w:r>
          </w:p>
          <w:p w14:paraId="15B50030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7350E38" w14:textId="6CF8893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Lin, J.,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Pantzalis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C., &amp; Park, J. (2017). Corporate derivatives use policy and information environment. Review of Quantitative Finance &amp; Accounting, 49(1), 159–194. https://doi.org/10.1007/s11156-016-0586-9</w:t>
            </w:r>
          </w:p>
          <w:p w14:paraId="14611406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96F73B9" w14:textId="5BD4F8FE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Marabel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-Romo, J., 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Guiral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A., Crespo-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Espert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L., Gonzalo, J. A., &amp; Moon, D. (2017). 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Fair value accounting in the absence of prudence in accounting standards: an illustration with exotic derivatives. Spanish Journal of Finance &amp; Accounting /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Revista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Espanola de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Financiacion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y </w:t>
            </w: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Contabilidad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46(2), 145–167. https://doi.org/10.1080/02102412.2016.1258027</w:t>
            </w:r>
          </w:p>
          <w:p w14:paraId="0CEE7A84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5A9C491" w14:textId="77777777" w:rsidR="00D054FE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Schulman, A. (2014). Diversity of Practice in Accounting for Derivatives Related to Credit Risk Retention. Journal of Structured </w:t>
            </w:r>
          </w:p>
          <w:p w14:paraId="43B78A4D" w14:textId="33DECEA1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Finance, 20(3), 71–75. https://doi.org/10.3905/jsf.2014.20.3.071</w:t>
            </w:r>
          </w:p>
          <w:p w14:paraId="187431FF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73417CD1" w14:textId="5CE6AC7D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Siregar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D., </w:t>
            </w:r>
            <w:proofErr w:type="spellStart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Anandarajan</w:t>
            </w:r>
            <w:proofErr w:type="spellEnd"/>
            <w:r w:rsidRPr="0078194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A., &amp; Hasan, I. (2013). </w:t>
            </w:r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Commercial Banks and Value Relevance of Derivative Disclosures after SFAS 133: Evidence from the USA. Review of Pacific Basin Financial Markets &amp; Policies, 16(1), 1. https://doi.org/10.1142/S0219091513500045</w:t>
            </w:r>
          </w:p>
          <w:p w14:paraId="16A51A59" w14:textId="77777777" w:rsidR="00D054FE" w:rsidRDefault="00D054FE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25E5DC1" w14:textId="3CAEBD68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Tessema</w:t>
            </w:r>
            <w:proofErr w:type="spellEnd"/>
            <w:r w:rsidRPr="00424D31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A. M. (2016). Accounting for derivatives and risk management activities. International Journal of Accounting &amp; Information Management, 24(1), 82–96. https://doi.org/10.1108/IJAIM-05-2015-0028</w:t>
            </w:r>
          </w:p>
          <w:p w14:paraId="693F8A74" w14:textId="77777777" w:rsidR="00424D31" w:rsidRPr="00424D31" w:rsidRDefault="00424D31" w:rsidP="00424D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4322BA4" w14:textId="189C514C" w:rsidR="00863F31" w:rsidRPr="00337CBE" w:rsidRDefault="00863F31" w:rsidP="00771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right="3445" w:hanging="90"/>
              <w:rPr>
                <w:rFonts w:ascii="Arial Narrow" w:hAnsi="Arial Narrow" w:cs="Arial"/>
                <w:b/>
                <w:iCs/>
              </w:rPr>
            </w:pPr>
            <w:r w:rsidRPr="00337CBE">
              <w:rPr>
                <w:rFonts w:ascii="Arial Narrow" w:hAnsi="Arial Narrow" w:cs="Arial"/>
                <w:b/>
                <w:iCs/>
              </w:rPr>
              <w:t xml:space="preserve">COLUMNAS DE ANÁLISIS Y OPINIÓN </w:t>
            </w:r>
          </w:p>
          <w:p w14:paraId="32EAA62E" w14:textId="77777777" w:rsidR="00426E8B" w:rsidRPr="00424D31" w:rsidRDefault="00426E8B" w:rsidP="00863F31">
            <w:pPr>
              <w:spacing w:after="0" w:line="240" w:lineRule="auto"/>
              <w:ind w:left="330" w:right="-104"/>
              <w:rPr>
                <w:rFonts w:ascii="Arial Narrow" w:hAnsi="Arial Narrow" w:cs="Arial"/>
              </w:rPr>
            </w:pPr>
          </w:p>
          <w:p w14:paraId="336BC1FF" w14:textId="59126CF4" w:rsidR="00863F31" w:rsidRDefault="00863F31" w:rsidP="00863F31">
            <w:pPr>
              <w:spacing w:after="0" w:line="240" w:lineRule="auto"/>
              <w:ind w:left="330" w:right="-104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>Re: Balance by Jim Peterson:</w:t>
            </w:r>
            <w:r w:rsidRPr="00337CBE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hyperlink r:id="rId33" w:history="1">
              <w:r w:rsidRPr="005954FF">
                <w:rPr>
                  <w:rStyle w:val="Hyperlink"/>
                  <w:rFonts w:ascii="Arial Narrow" w:hAnsi="Arial Narrow" w:cs="Arial"/>
                  <w:lang w:val="en-US"/>
                </w:rPr>
                <w:t>https://www.jamesrpeterson.com/home/accounting_principles_and_standards/</w:t>
              </w:r>
            </w:hyperlink>
          </w:p>
          <w:p w14:paraId="5A25D0B3" w14:textId="77777777" w:rsidR="00863F31" w:rsidRPr="00337CBE" w:rsidRDefault="00863F31" w:rsidP="00863F31">
            <w:pPr>
              <w:spacing w:after="0" w:line="240" w:lineRule="auto"/>
              <w:ind w:left="330" w:right="-104"/>
              <w:rPr>
                <w:rFonts w:ascii="Arial Narrow" w:hAnsi="Arial Narrow" w:cs="Arial"/>
                <w:lang w:val="en-US"/>
              </w:rPr>
            </w:pPr>
          </w:p>
          <w:p w14:paraId="4C318E70" w14:textId="6EF60EDF" w:rsidR="00863F31" w:rsidRDefault="00863F31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i/>
                <w:color w:val="0000FF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Accounting Onion by Tom Selling: </w:t>
            </w:r>
            <w:hyperlink r:id="rId34">
              <w:r w:rsidRPr="00337CBE">
                <w:rPr>
                  <w:rFonts w:ascii="Arial Narrow" w:hAnsi="Arial Narrow" w:cs="Arial"/>
                  <w:i/>
                  <w:color w:val="0000FF"/>
                  <w:u w:val="single" w:color="0000FF"/>
                  <w:lang w:val="en-US"/>
                </w:rPr>
                <w:t>http://accountingonion.com/</w:t>
              </w:r>
            </w:hyperlink>
            <w:hyperlink r:id="rId35">
              <w:r w:rsidRPr="00337CBE">
                <w:rPr>
                  <w:rFonts w:ascii="Arial Narrow" w:hAnsi="Arial Narrow" w:cs="Arial"/>
                  <w:i/>
                  <w:color w:val="0000FF"/>
                  <w:lang w:val="en-US"/>
                </w:rPr>
                <w:t xml:space="preserve"> </w:t>
              </w:r>
            </w:hyperlink>
          </w:p>
          <w:p w14:paraId="70A56AE2" w14:textId="77777777" w:rsidR="00426E8B" w:rsidRPr="00337CBE" w:rsidRDefault="00426E8B" w:rsidP="00863F31">
            <w:pPr>
              <w:spacing w:after="0" w:line="240" w:lineRule="auto"/>
              <w:ind w:left="330" w:right="39"/>
              <w:rPr>
                <w:rFonts w:ascii="Arial Narrow" w:hAnsi="Arial Narrow" w:cs="Arial"/>
                <w:lang w:val="en-US"/>
              </w:rPr>
            </w:pPr>
          </w:p>
          <w:p w14:paraId="090C6358" w14:textId="35103A8B" w:rsidR="00863F31" w:rsidRPr="00337CBE" w:rsidRDefault="00863F31" w:rsidP="00771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 w:hanging="90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</w:rPr>
              <w:t>PODCASTS DE INTERÉS PARA CONTADORES</w:t>
            </w:r>
          </w:p>
          <w:p w14:paraId="3B4BE3F6" w14:textId="77777777" w:rsidR="00863F31" w:rsidRPr="00337CBE" w:rsidRDefault="00863F31" w:rsidP="00863F3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</w:p>
          <w:p w14:paraId="697528A9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ACCOUNTING BEST PRACTICES WITH STEVE BRAGG</w:t>
            </w:r>
          </w:p>
          <w:p w14:paraId="4EA5C27F" w14:textId="77777777" w:rsidR="00863F31" w:rsidRPr="00337CBE" w:rsidRDefault="00062B7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36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https://www.stitcher.com/podcast/accounting-best-practices-with-steve-bragg</w:t>
              </w:r>
            </w:hyperlink>
          </w:p>
          <w:p w14:paraId="48235994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0F305BA2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Accounting Today Podcast</w:t>
            </w:r>
          </w:p>
          <w:p w14:paraId="4D3819A9" w14:textId="77777777" w:rsidR="00863F31" w:rsidRPr="00337CBE" w:rsidRDefault="00062B7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37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https://www.accountingtoday.com/podcast</w:t>
              </w:r>
            </w:hyperlink>
          </w:p>
          <w:p w14:paraId="7C3D50FE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57590FFE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ACCOUNTING INFLUENCERS</w:t>
            </w:r>
          </w:p>
          <w:p w14:paraId="0EC75686" w14:textId="77777777" w:rsidR="00863F31" w:rsidRPr="00337CBE" w:rsidRDefault="00062B7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38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https://www.stitcher.com/podcast/accounting-influencers</w:t>
              </w:r>
            </w:hyperlink>
          </w:p>
          <w:p w14:paraId="104EFE97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4189AB44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lang w:val="en-US"/>
              </w:rPr>
              <w:t>THE BIG 4 ACCOUNTING FIRMS PODCAST</w:t>
            </w:r>
          </w:p>
          <w:p w14:paraId="597C2352" w14:textId="77777777" w:rsidR="00863F31" w:rsidRPr="00337CBE" w:rsidRDefault="00062B7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39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https://big4accountingfirms.com/</w:t>
              </w:r>
            </w:hyperlink>
          </w:p>
          <w:p w14:paraId="0A63F5E8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37DD7516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ACCA Podcasts</w:t>
            </w:r>
          </w:p>
          <w:p w14:paraId="45E1A27C" w14:textId="77777777" w:rsidR="00863F31" w:rsidRPr="00337CBE" w:rsidRDefault="00062B7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  <w:hyperlink r:id="rId40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https://accaglobal.podomatic.com/</w:t>
              </w:r>
            </w:hyperlink>
          </w:p>
          <w:p w14:paraId="7C23528C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7222CD73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CPA Guide Podcast</w:t>
            </w:r>
          </w:p>
          <w:p w14:paraId="3C30BA13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 </w:t>
            </w:r>
            <w:hyperlink r:id="rId41" w:history="1">
              <w:r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https://www.stitcher.com/podcast/the-cpa-guide-podcast</w:t>
              </w:r>
            </w:hyperlink>
          </w:p>
          <w:p w14:paraId="345F4A23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46ABF562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Accounting Play</w:t>
            </w:r>
          </w:p>
          <w:p w14:paraId="4DF1942E" w14:textId="77777777" w:rsidR="00863F31" w:rsidRPr="00337CBE" w:rsidRDefault="00062B7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42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https://accountingplay.com/</w:t>
              </w:r>
            </w:hyperlink>
          </w:p>
          <w:p w14:paraId="47CE91E9" w14:textId="77777777" w:rsidR="00863F31" w:rsidRPr="00337CBE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lang w:val="en-US"/>
              </w:rPr>
            </w:pPr>
          </w:p>
          <w:p w14:paraId="5AC07262" w14:textId="77777777" w:rsidR="00863F31" w:rsidRPr="00337CBE" w:rsidRDefault="00863F3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aps/>
                <w:lang w:val="en-US"/>
              </w:rPr>
              <w:t>The Abacus Show</w:t>
            </w:r>
          </w:p>
          <w:p w14:paraId="23F0F22B" w14:textId="77777777" w:rsidR="00863F31" w:rsidRPr="00337CBE" w:rsidRDefault="00062B71" w:rsidP="00863F31">
            <w:pPr>
              <w:spacing w:after="0" w:line="240" w:lineRule="auto"/>
              <w:ind w:left="330"/>
              <w:outlineLvl w:val="2"/>
              <w:rPr>
                <w:rFonts w:ascii="Arial Narrow" w:eastAsia="Times New Roman" w:hAnsi="Arial Narrow" w:cs="Arial"/>
                <w:lang w:val="en-US"/>
              </w:rPr>
            </w:pPr>
            <w:hyperlink r:id="rId43" w:history="1">
              <w:r w:rsidR="00863F31" w:rsidRPr="00337CBE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https://cpatalent.com/abacus/</w:t>
              </w:r>
            </w:hyperlink>
          </w:p>
          <w:p w14:paraId="75601574" w14:textId="77777777" w:rsidR="00863F31" w:rsidRPr="00337CBE" w:rsidRDefault="00863F31" w:rsidP="00863F31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caps/>
                <w:lang w:val="en-US"/>
              </w:rPr>
            </w:pPr>
          </w:p>
          <w:p w14:paraId="22C39A40" w14:textId="3F0CE7D7" w:rsidR="00863F31" w:rsidRPr="00337CBE" w:rsidRDefault="00863F31" w:rsidP="00771C98">
            <w:pPr>
              <w:pStyle w:val="Heading2"/>
              <w:numPr>
                <w:ilvl w:val="0"/>
                <w:numId w:val="3"/>
              </w:numPr>
              <w:spacing w:after="0" w:line="240" w:lineRule="auto"/>
              <w:ind w:left="330" w:hanging="90"/>
              <w:rPr>
                <w:rFonts w:ascii="Arial Narrow" w:hAnsi="Arial Narrow"/>
                <w:i w:val="0"/>
                <w:iCs/>
                <w:sz w:val="22"/>
              </w:rPr>
            </w:pP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PORTALES ELECTRÓNICOS – ORGANIZACIONES PROFESIONALES </w:t>
            </w:r>
          </w:p>
          <w:p w14:paraId="45013E99" w14:textId="77777777" w:rsidR="00863F31" w:rsidRPr="002E6BCF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2E6BCF">
              <w:rPr>
                <w:rFonts w:ascii="Arial Narrow" w:hAnsi="Arial Narrow" w:cs="Arial"/>
                <w:lang w:val="en-US"/>
              </w:rPr>
              <w:t xml:space="preserve">AICPA Code of Professional Conduct: </w:t>
            </w:r>
            <w:hyperlink r:id="rId44">
              <w:r w:rsidRPr="002E6BCF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http://www.aicpa.org/about/code/index.htm</w:t>
              </w:r>
            </w:hyperlink>
            <w:hyperlink r:id="rId45">
              <w:r w:rsidRPr="002E6BCF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BCB5A02" w14:textId="7B91F030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Colegio de Contadores Públicos Autorizados de Puerto Rico: </w:t>
            </w:r>
            <w:hyperlink r:id="rId46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http://www.colegiocpa.com</w:t>
              </w:r>
            </w:hyperlink>
            <w:hyperlink r:id="rId47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2348E42E" w14:textId="3EBE3E61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Accounting Standards Board (FASB): </w:t>
            </w:r>
            <w:hyperlink r:id="rId48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http://www.fasb.org</w:t>
              </w:r>
            </w:hyperlink>
            <w:hyperlink r:id="rId49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3E66904D" w14:textId="0224A704" w:rsidR="00863F31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(IASB): http://www.iasc.org.uk Journal of Accountancy: </w:t>
            </w:r>
            <w:hyperlink r:id="rId50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http://www.aicpa.org/pubs/jofa</w:t>
              </w:r>
            </w:hyperlink>
            <w:hyperlink r:id="rId51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15413897" w14:textId="77777777" w:rsidR="00426E8B" w:rsidRPr="00337CBE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7FBAC0C5" w14:textId="534BA03B" w:rsidR="00863F31" w:rsidRPr="00E4658D" w:rsidRDefault="00863F31" w:rsidP="00863F31">
            <w:pPr>
              <w:pStyle w:val="Heading2"/>
              <w:spacing w:after="0" w:line="240" w:lineRule="auto"/>
              <w:rPr>
                <w:rFonts w:ascii="Arial Narrow" w:hAnsi="Arial Narrow"/>
                <w:sz w:val="22"/>
                <w:lang w:val="en-US"/>
              </w:rPr>
            </w:pPr>
            <w:r w:rsidRPr="00E4658D">
              <w:rPr>
                <w:rFonts w:ascii="Arial Narrow" w:hAnsi="Arial Narrow"/>
                <w:bCs/>
                <w:i w:val="0"/>
                <w:sz w:val="22"/>
                <w:lang w:val="en-US"/>
              </w:rPr>
              <w:t>VII</w:t>
            </w:r>
            <w:r w:rsidRPr="00E4658D">
              <w:rPr>
                <w:rFonts w:ascii="Arial Narrow" w:hAnsi="Arial Narrow"/>
                <w:b w:val="0"/>
                <w:i w:val="0"/>
                <w:sz w:val="22"/>
                <w:lang w:val="en-US"/>
              </w:rPr>
              <w:t>.</w:t>
            </w:r>
            <w:r w:rsidRPr="00E4658D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E4658D">
              <w:rPr>
                <w:rFonts w:ascii="Arial Narrow" w:hAnsi="Arial Narrow"/>
                <w:i w:val="0"/>
                <w:iCs/>
                <w:sz w:val="22"/>
                <w:lang w:val="en-US"/>
              </w:rPr>
              <w:t>REFERENCIAS ELECTRÓNICAS</w:t>
            </w:r>
            <w:r w:rsidRPr="00E4658D">
              <w:rPr>
                <w:rFonts w:ascii="Arial Narrow" w:hAnsi="Arial Narrow"/>
                <w:sz w:val="22"/>
                <w:lang w:val="en-US"/>
              </w:rPr>
              <w:t xml:space="preserve"> – Examen CPA </w:t>
            </w:r>
          </w:p>
          <w:p w14:paraId="412F9BDD" w14:textId="77777777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3A824DDD" w14:textId="4358CFFB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National Association of State Boards of Accountancy (NASBA): </w:t>
            </w:r>
          </w:p>
          <w:p w14:paraId="43454C40" w14:textId="7D86596D" w:rsidR="00426E8B" w:rsidRDefault="00062B7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hyperlink r:id="rId52">
              <w:r w:rsidR="00863F31"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http://www.nasba.org/nasbaweb.nsf/nasbahome</w:t>
              </w:r>
            </w:hyperlink>
            <w:hyperlink r:id="rId53">
              <w:r w:rsidR="00863F31"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6052519C" w14:textId="5A7B324B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CPA Exam: </w:t>
            </w:r>
            <w:hyperlink r:id="rId54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http://www.cpa</w:t>
              </w:r>
            </w:hyperlink>
            <w:hyperlink r:id="rId55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56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exam.org</w:t>
              </w:r>
            </w:hyperlink>
            <w:hyperlink r:id="rId57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111C03D" w14:textId="548B0765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Accounting Research and Career Information: </w:t>
            </w:r>
            <w:hyperlink r:id="rId58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http://www.accountingnet.com</w:t>
              </w:r>
            </w:hyperlink>
            <w:hyperlink r:id="rId59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026BA5B8" w14:textId="77777777" w:rsidR="00426E8B" w:rsidRPr="00C2066C" w:rsidRDefault="00426E8B" w:rsidP="00863F31">
            <w:pPr>
              <w:pStyle w:val="Heading2"/>
              <w:spacing w:after="0" w:line="240" w:lineRule="auto"/>
              <w:ind w:left="0" w:firstLine="0"/>
              <w:rPr>
                <w:rFonts w:ascii="Arial Narrow" w:hAnsi="Arial Narrow"/>
                <w:i w:val="0"/>
                <w:iCs/>
                <w:sz w:val="22"/>
                <w:lang w:val="en-US"/>
              </w:rPr>
            </w:pPr>
          </w:p>
          <w:p w14:paraId="3108B396" w14:textId="59ED5F3E" w:rsidR="00863F31" w:rsidRPr="00337CBE" w:rsidRDefault="00863F31" w:rsidP="00863F31">
            <w:pPr>
              <w:pStyle w:val="Heading2"/>
              <w:spacing w:after="0" w:line="240" w:lineRule="auto"/>
              <w:ind w:left="0" w:firstLine="0"/>
              <w:rPr>
                <w:rFonts w:ascii="Arial Narrow" w:hAnsi="Arial Narrow"/>
                <w:i w:val="0"/>
                <w:iCs/>
                <w:sz w:val="22"/>
              </w:rPr>
            </w:pPr>
            <w:r>
              <w:rPr>
                <w:rFonts w:ascii="Arial Narrow" w:hAnsi="Arial Narrow"/>
                <w:i w:val="0"/>
                <w:iCs/>
                <w:sz w:val="22"/>
              </w:rPr>
              <w:t xml:space="preserve">VIII.  </w:t>
            </w: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BASES DE DATOS </w:t>
            </w:r>
            <w:r>
              <w:rPr>
                <w:rFonts w:ascii="Arial Narrow" w:hAnsi="Arial Narrow"/>
                <w:i w:val="0"/>
                <w:iCs/>
                <w:sz w:val="22"/>
              </w:rPr>
              <w:t>Y OTRAS</w:t>
            </w:r>
          </w:p>
          <w:p w14:paraId="6C40844C" w14:textId="77777777" w:rsidR="00426E8B" w:rsidRPr="00C2066C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</w:p>
          <w:p w14:paraId="35DE49A6" w14:textId="76C12F4D" w:rsidR="00863F31" w:rsidRPr="002E4939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2E4939">
              <w:rPr>
                <w:rFonts w:ascii="Arial Narrow" w:hAnsi="Arial Narrow" w:cs="Arial"/>
                <w:lang w:val="en-US"/>
              </w:rPr>
              <w:t xml:space="preserve">Edgar: </w:t>
            </w:r>
            <w:hyperlink r:id="rId60">
              <w:r w:rsidRPr="002E4939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http://www.sec.gov</w:t>
              </w:r>
            </w:hyperlink>
            <w:hyperlink r:id="rId61">
              <w:r w:rsidRPr="002E4939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2BBC3C13" w14:textId="02205AF6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Glossary: </w:t>
            </w:r>
            <w:hyperlink r:id="rId62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http://www.finance</w:t>
              </w:r>
            </w:hyperlink>
            <w:hyperlink r:id="rId63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64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glossary.com/pages/home.htm</w:t>
              </w:r>
            </w:hyperlink>
            <w:hyperlink r:id="rId65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6F59656A" w14:textId="3EA51C13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Search for Business Information: </w:t>
            </w:r>
            <w:hyperlink r:id="rId66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http://www.hoovers.com/free/</w:t>
              </w:r>
            </w:hyperlink>
            <w:hyperlink r:id="rId67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3947C68" w14:textId="75B69333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Servicio gratuito: </w:t>
            </w:r>
            <w:hyperlink r:id="rId68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http://www.findarticles.com/PI/index.jhtml</w:t>
              </w:r>
            </w:hyperlink>
            <w:hyperlink r:id="rId69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0F1394A5" w14:textId="62B91B18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Yahoo Finance Site: </w:t>
            </w:r>
            <w:hyperlink r:id="rId70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http://finance.yahoo.com</w:t>
              </w:r>
            </w:hyperlink>
            <w:hyperlink r:id="rId71">
              <w:r w:rsidRPr="00337CBE">
                <w:rPr>
                  <w:rFonts w:ascii="Arial Narrow" w:hAnsi="Arial Narrow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3FD98143" w14:textId="77777777" w:rsidR="00EF0A86" w:rsidRPr="00AF0DA2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0E1C5556" w14:textId="77777777" w:rsidR="00EF0A86" w:rsidRPr="009C6E76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en-US"/>
        </w:rPr>
      </w:pPr>
    </w:p>
    <w:p w14:paraId="7002843A" w14:textId="77777777" w:rsidR="00EF0A86" w:rsidRPr="009C6E76" w:rsidRDefault="00EF0A86" w:rsidP="00EF0A86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p w14:paraId="01550D94" w14:textId="77777777" w:rsidR="0018040F" w:rsidRPr="009C6E76" w:rsidRDefault="0018040F">
      <w:pPr>
        <w:rPr>
          <w:lang w:val="en-US"/>
        </w:rPr>
      </w:pPr>
    </w:p>
    <w:sectPr w:rsidR="0018040F" w:rsidRPr="009C6E76" w:rsidSect="001F3A5F">
      <w:footerReference w:type="default" r:id="rId72"/>
      <w:footerReference w:type="first" r:id="rId73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C0D85" w14:textId="77777777" w:rsidR="00062B71" w:rsidRDefault="00062B71">
      <w:pPr>
        <w:spacing w:after="0" w:line="240" w:lineRule="auto"/>
      </w:pPr>
      <w:r>
        <w:separator/>
      </w:r>
    </w:p>
  </w:endnote>
  <w:endnote w:type="continuationSeparator" w:id="0">
    <w:p w14:paraId="5D52B4CA" w14:textId="77777777" w:rsidR="00062B71" w:rsidRDefault="0006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C2066C" w:rsidRDefault="00C20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C2066C" w:rsidRDefault="00C2066C">
        <w:pPr>
          <w:pStyle w:val="Footer"/>
          <w:jc w:val="right"/>
        </w:pPr>
        <w:r>
          <w:t>1</w:t>
        </w:r>
      </w:p>
    </w:sdtContent>
  </w:sdt>
  <w:p w14:paraId="64B5FC6D" w14:textId="77777777" w:rsidR="00C2066C" w:rsidRDefault="00C20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A1371" w14:textId="77777777" w:rsidR="00062B71" w:rsidRDefault="00062B71">
      <w:pPr>
        <w:spacing w:after="0" w:line="240" w:lineRule="auto"/>
      </w:pPr>
      <w:r>
        <w:separator/>
      </w:r>
    </w:p>
  </w:footnote>
  <w:footnote w:type="continuationSeparator" w:id="0">
    <w:p w14:paraId="36193984" w14:textId="77777777" w:rsidR="00062B71" w:rsidRDefault="0006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380"/>
    <w:multiLevelType w:val="hybridMultilevel"/>
    <w:tmpl w:val="8CF05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0BB"/>
    <w:multiLevelType w:val="hybridMultilevel"/>
    <w:tmpl w:val="84285D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4412F8"/>
    <w:multiLevelType w:val="hybridMultilevel"/>
    <w:tmpl w:val="B340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73E5"/>
    <w:multiLevelType w:val="hybridMultilevel"/>
    <w:tmpl w:val="C5387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B4"/>
    <w:multiLevelType w:val="hybridMultilevel"/>
    <w:tmpl w:val="01FA50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41B2"/>
    <w:multiLevelType w:val="hybridMultilevel"/>
    <w:tmpl w:val="381A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3C63"/>
    <w:multiLevelType w:val="hybridMultilevel"/>
    <w:tmpl w:val="BDA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00A1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5633"/>
    <w:multiLevelType w:val="hybridMultilevel"/>
    <w:tmpl w:val="3050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32F"/>
    <w:multiLevelType w:val="hybridMultilevel"/>
    <w:tmpl w:val="E2685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56ACA"/>
    <w:multiLevelType w:val="hybridMultilevel"/>
    <w:tmpl w:val="3AC63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3604B"/>
    <w:multiLevelType w:val="hybridMultilevel"/>
    <w:tmpl w:val="B270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372"/>
    <w:multiLevelType w:val="hybridMultilevel"/>
    <w:tmpl w:val="CA862E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D7318"/>
    <w:multiLevelType w:val="hybridMultilevel"/>
    <w:tmpl w:val="510CA8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F0DBA"/>
    <w:multiLevelType w:val="hybridMultilevel"/>
    <w:tmpl w:val="9718ED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C5119"/>
    <w:multiLevelType w:val="hybridMultilevel"/>
    <w:tmpl w:val="FB801090"/>
    <w:lvl w:ilvl="0" w:tplc="EA6492B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714120BB"/>
    <w:multiLevelType w:val="hybridMultilevel"/>
    <w:tmpl w:val="8E967686"/>
    <w:lvl w:ilvl="0" w:tplc="1560813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73E27A6E"/>
    <w:multiLevelType w:val="hybridMultilevel"/>
    <w:tmpl w:val="504CD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26FC"/>
    <w:multiLevelType w:val="hybridMultilevel"/>
    <w:tmpl w:val="92C87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7"/>
  </w:num>
  <w:num w:numId="15">
    <w:abstractNumId w:val="11"/>
  </w:num>
  <w:num w:numId="16">
    <w:abstractNumId w:val="5"/>
  </w:num>
  <w:num w:numId="17">
    <w:abstractNumId w:val="13"/>
  </w:num>
  <w:num w:numId="18">
    <w:abstractNumId w:val="3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0023F"/>
    <w:rsid w:val="00003DBE"/>
    <w:rsid w:val="0000454E"/>
    <w:rsid w:val="00021DD5"/>
    <w:rsid w:val="00022190"/>
    <w:rsid w:val="00032039"/>
    <w:rsid w:val="00037227"/>
    <w:rsid w:val="000401F2"/>
    <w:rsid w:val="00054171"/>
    <w:rsid w:val="00060919"/>
    <w:rsid w:val="00062B71"/>
    <w:rsid w:val="0006477E"/>
    <w:rsid w:val="000667DB"/>
    <w:rsid w:val="000D02FB"/>
    <w:rsid w:val="001233D0"/>
    <w:rsid w:val="00131F8B"/>
    <w:rsid w:val="0018040F"/>
    <w:rsid w:val="00183A32"/>
    <w:rsid w:val="001C423C"/>
    <w:rsid w:val="001D5FCB"/>
    <w:rsid w:val="001F3A5F"/>
    <w:rsid w:val="0020292E"/>
    <w:rsid w:val="00225666"/>
    <w:rsid w:val="0022789B"/>
    <w:rsid w:val="00246C83"/>
    <w:rsid w:val="00283910"/>
    <w:rsid w:val="00285048"/>
    <w:rsid w:val="00290386"/>
    <w:rsid w:val="002C5802"/>
    <w:rsid w:val="002C7966"/>
    <w:rsid w:val="002E4939"/>
    <w:rsid w:val="002E6BCF"/>
    <w:rsid w:val="00311486"/>
    <w:rsid w:val="00324C38"/>
    <w:rsid w:val="00334AAE"/>
    <w:rsid w:val="00337CBE"/>
    <w:rsid w:val="003915BF"/>
    <w:rsid w:val="003C2DB4"/>
    <w:rsid w:val="003C33B1"/>
    <w:rsid w:val="003F44A6"/>
    <w:rsid w:val="003F6DD0"/>
    <w:rsid w:val="00400CBA"/>
    <w:rsid w:val="00414D16"/>
    <w:rsid w:val="00421752"/>
    <w:rsid w:val="00424D31"/>
    <w:rsid w:val="00426E8B"/>
    <w:rsid w:val="00432B78"/>
    <w:rsid w:val="00437DC7"/>
    <w:rsid w:val="00450AC3"/>
    <w:rsid w:val="00460FEC"/>
    <w:rsid w:val="00467A9C"/>
    <w:rsid w:val="00493FC6"/>
    <w:rsid w:val="004D2297"/>
    <w:rsid w:val="004D76B0"/>
    <w:rsid w:val="004E1DD7"/>
    <w:rsid w:val="004E70E3"/>
    <w:rsid w:val="004F07FB"/>
    <w:rsid w:val="005008AA"/>
    <w:rsid w:val="005159A3"/>
    <w:rsid w:val="005247C5"/>
    <w:rsid w:val="005A0F21"/>
    <w:rsid w:val="005C13F4"/>
    <w:rsid w:val="005D7BB0"/>
    <w:rsid w:val="005E1883"/>
    <w:rsid w:val="005F228D"/>
    <w:rsid w:val="00640797"/>
    <w:rsid w:val="00651849"/>
    <w:rsid w:val="006804BF"/>
    <w:rsid w:val="006A16CE"/>
    <w:rsid w:val="006B0B3F"/>
    <w:rsid w:val="006C17E4"/>
    <w:rsid w:val="006D28CC"/>
    <w:rsid w:val="006D517D"/>
    <w:rsid w:val="006E71A1"/>
    <w:rsid w:val="006F35C5"/>
    <w:rsid w:val="006F5D24"/>
    <w:rsid w:val="006F705A"/>
    <w:rsid w:val="00703343"/>
    <w:rsid w:val="007328F1"/>
    <w:rsid w:val="00735C79"/>
    <w:rsid w:val="00737B09"/>
    <w:rsid w:val="00753435"/>
    <w:rsid w:val="00771C98"/>
    <w:rsid w:val="0078194E"/>
    <w:rsid w:val="007819C4"/>
    <w:rsid w:val="00783414"/>
    <w:rsid w:val="007B5176"/>
    <w:rsid w:val="007C4FEF"/>
    <w:rsid w:val="00844A1A"/>
    <w:rsid w:val="00863F31"/>
    <w:rsid w:val="00865D3E"/>
    <w:rsid w:val="0088194E"/>
    <w:rsid w:val="008F1C8F"/>
    <w:rsid w:val="009061B3"/>
    <w:rsid w:val="00912F59"/>
    <w:rsid w:val="009233C2"/>
    <w:rsid w:val="00933E97"/>
    <w:rsid w:val="009425EB"/>
    <w:rsid w:val="00966D88"/>
    <w:rsid w:val="00972BD5"/>
    <w:rsid w:val="0097615D"/>
    <w:rsid w:val="00995BEA"/>
    <w:rsid w:val="009C6E76"/>
    <w:rsid w:val="00A03D81"/>
    <w:rsid w:val="00A1016E"/>
    <w:rsid w:val="00A6140E"/>
    <w:rsid w:val="00A6153C"/>
    <w:rsid w:val="00A72F14"/>
    <w:rsid w:val="00A74007"/>
    <w:rsid w:val="00A93864"/>
    <w:rsid w:val="00AB717B"/>
    <w:rsid w:val="00AC73FE"/>
    <w:rsid w:val="00AD11DA"/>
    <w:rsid w:val="00AF0DA2"/>
    <w:rsid w:val="00B01E72"/>
    <w:rsid w:val="00B10AAA"/>
    <w:rsid w:val="00B165FC"/>
    <w:rsid w:val="00B205F2"/>
    <w:rsid w:val="00BC09BF"/>
    <w:rsid w:val="00BF2A8B"/>
    <w:rsid w:val="00C1362A"/>
    <w:rsid w:val="00C15615"/>
    <w:rsid w:val="00C2066C"/>
    <w:rsid w:val="00C37DD5"/>
    <w:rsid w:val="00C54293"/>
    <w:rsid w:val="00C7770D"/>
    <w:rsid w:val="00C812B4"/>
    <w:rsid w:val="00CD1D8F"/>
    <w:rsid w:val="00CE4F52"/>
    <w:rsid w:val="00CE6143"/>
    <w:rsid w:val="00CF72B8"/>
    <w:rsid w:val="00D054FE"/>
    <w:rsid w:val="00D2362F"/>
    <w:rsid w:val="00D43515"/>
    <w:rsid w:val="00D80099"/>
    <w:rsid w:val="00D86538"/>
    <w:rsid w:val="00D93201"/>
    <w:rsid w:val="00DD5397"/>
    <w:rsid w:val="00DF57AE"/>
    <w:rsid w:val="00E15089"/>
    <w:rsid w:val="00E4658D"/>
    <w:rsid w:val="00E84B59"/>
    <w:rsid w:val="00E86386"/>
    <w:rsid w:val="00EB197A"/>
    <w:rsid w:val="00EE540B"/>
    <w:rsid w:val="00EF0A86"/>
    <w:rsid w:val="00F07DF0"/>
    <w:rsid w:val="00F43351"/>
    <w:rsid w:val="00FE3A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B205F2"/>
    <w:pPr>
      <w:keepNext/>
      <w:keepLines/>
      <w:spacing w:after="228" w:line="250" w:lineRule="auto"/>
      <w:ind w:left="10" w:right="3445" w:hanging="10"/>
      <w:outlineLvl w:val="1"/>
    </w:pPr>
    <w:rPr>
      <w:rFonts w:ascii="Arial" w:eastAsia="Arial" w:hAnsi="Arial" w:cs="Arial"/>
      <w:b/>
      <w:i/>
      <w:color w:val="000000"/>
      <w:sz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customStyle="1" w:styleId="Heading2Char">
    <w:name w:val="Heading 2 Char"/>
    <w:basedOn w:val="DefaultParagraphFont"/>
    <w:link w:val="Heading2"/>
    <w:rsid w:val="00B205F2"/>
    <w:rPr>
      <w:rFonts w:ascii="Arial" w:eastAsia="Arial" w:hAnsi="Arial" w:cs="Arial"/>
      <w:b/>
      <w:i/>
      <w:color w:val="000000"/>
      <w:sz w:val="24"/>
      <w:lang w:val="es-PR" w:eastAsia="es-PR"/>
    </w:rPr>
  </w:style>
  <w:style w:type="paragraph" w:styleId="NormalWeb">
    <w:name w:val="Normal (Web)"/>
    <w:basedOn w:val="Normal"/>
    <w:uiPriority w:val="99"/>
    <w:semiHidden/>
    <w:unhideWhenUsed/>
    <w:rsid w:val="000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8F"/>
    <w:rPr>
      <w:rFonts w:ascii="Times New Roman" w:hAnsi="Times New Roman" w:cs="Times New Roman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FE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34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AA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5008AA"/>
    <w:pPr>
      <w:spacing w:after="0" w:line="240" w:lineRule="auto"/>
    </w:pPr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78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19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v.kpmg.us/content/dam/frv/en/pdfs/2018/R25_Derivatives_and_Hedging_Handbook.pdf" TargetMode="External"/><Relationship Id="rId21" Type="http://schemas.openxmlformats.org/officeDocument/2006/relationships/hyperlink" Target="https://frv.kpmg.us/content/dam/frv/en/pdfs/2020/leases-handbook-2020.pdf" TargetMode="External"/><Relationship Id="rId42" Type="http://schemas.openxmlformats.org/officeDocument/2006/relationships/hyperlink" Target="https://accountingplay.com/" TargetMode="External"/><Relationship Id="rId47" Type="http://schemas.openxmlformats.org/officeDocument/2006/relationships/hyperlink" Target="http://www.colegiocpa.com/" TargetMode="External"/><Relationship Id="rId63" Type="http://schemas.openxmlformats.org/officeDocument/2006/relationships/hyperlink" Target="http://www.finance-glossary.com/pages/home.htm" TargetMode="External"/><Relationship Id="rId68" Type="http://schemas.openxmlformats.org/officeDocument/2006/relationships/hyperlink" Target="http://www.findarticles.com/PI/index.j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wc.com/us/en/cfodirect/assets/pdf/accounting-guides/pwc-revenue-recognition-global-guide.pdf" TargetMode="External"/><Relationship Id="rId29" Type="http://schemas.openxmlformats.org/officeDocument/2006/relationships/hyperlink" Target="https://biblioteca.uprrp.edu:2074/10.1111/1911-3838.12167" TargetMode="External"/><Relationship Id="rId11" Type="http://schemas.openxmlformats.org/officeDocument/2006/relationships/hyperlink" Target="https://www2.deloitte.com/content/dam/Deloitte/ng/Documents/audit/ng-IFRS-in-Focus-Coronavirus-Disease%202019.pdf" TargetMode="External"/><Relationship Id="rId24" Type="http://schemas.openxmlformats.org/officeDocument/2006/relationships/hyperlink" Target="https://www2.deloitte.com/content/dam/Deloitte/ie/Documents/FinancialServices/investmentmanagement/IE_2015_Linkn_Learn2015_Introduction%20to%20Derivative%20Instruments%20%20Part%202.pdf" TargetMode="External"/><Relationship Id="rId32" Type="http://schemas.openxmlformats.org/officeDocument/2006/relationships/hyperlink" Target="https://doi.org/10.1016/j.jaccpubpol.2015.01.002" TargetMode="External"/><Relationship Id="rId37" Type="http://schemas.openxmlformats.org/officeDocument/2006/relationships/hyperlink" Target="https://www.accountingtoday.com/podcast" TargetMode="External"/><Relationship Id="rId40" Type="http://schemas.openxmlformats.org/officeDocument/2006/relationships/hyperlink" Target="https://accaglobal.podomatic.com/" TargetMode="External"/><Relationship Id="rId45" Type="http://schemas.openxmlformats.org/officeDocument/2006/relationships/hyperlink" Target="http://www.aicpa.org/about/code/index.htm" TargetMode="External"/><Relationship Id="rId53" Type="http://schemas.openxmlformats.org/officeDocument/2006/relationships/hyperlink" Target="http://www.nasba.org/nasbaweb.nsf/nasbahome" TargetMode="External"/><Relationship Id="rId58" Type="http://schemas.openxmlformats.org/officeDocument/2006/relationships/hyperlink" Target="http://www.accountingnet.com/" TargetMode="External"/><Relationship Id="rId66" Type="http://schemas.openxmlformats.org/officeDocument/2006/relationships/hyperlink" Target="http://www.hoovers.com/free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sec.gov/" TargetMode="External"/><Relationship Id="rId19" Type="http://schemas.openxmlformats.org/officeDocument/2006/relationships/hyperlink" Target="https://www.pwc.com/us/en/cfodirect/assets/pdf/accounting-guides/pwc-income-taxes-guide.pdf" TargetMode="External"/><Relationship Id="rId14" Type="http://schemas.openxmlformats.org/officeDocument/2006/relationships/hyperlink" Target="https://www.ey.com/en_us/assurance/accountinglink/financial-reporting-developments---revenue-from-contracts-with-c" TargetMode="External"/><Relationship Id="rId22" Type="http://schemas.openxmlformats.org/officeDocument/2006/relationships/hyperlink" Target="https://www.pwc.com/us/en/cfodirect/publications/accounting-guides/pwc-lease-accounting-guide-asc-842.html" TargetMode="External"/><Relationship Id="rId27" Type="http://schemas.openxmlformats.org/officeDocument/2006/relationships/hyperlink" Target="https://www.pwc.com/us/en/cfodirect/assets/pdf/accounting-guides/pwc-derivative-hedge-accounting.pdf" TargetMode="External"/><Relationship Id="rId30" Type="http://schemas.openxmlformats.org/officeDocument/2006/relationships/hyperlink" Target="https://biblioteca.uprrp.edu:2074/10.1108/PAR-02-2019-0020" TargetMode="External"/><Relationship Id="rId35" Type="http://schemas.openxmlformats.org/officeDocument/2006/relationships/hyperlink" Target="http://accountingonion.com/" TargetMode="External"/><Relationship Id="rId43" Type="http://schemas.openxmlformats.org/officeDocument/2006/relationships/hyperlink" Target="https://cpatalent.com/abacus/" TargetMode="External"/><Relationship Id="rId48" Type="http://schemas.openxmlformats.org/officeDocument/2006/relationships/hyperlink" Target="http://www.fasb.org/" TargetMode="External"/><Relationship Id="rId56" Type="http://schemas.openxmlformats.org/officeDocument/2006/relationships/hyperlink" Target="http://www.cpa-exam.org/" TargetMode="External"/><Relationship Id="rId64" Type="http://schemas.openxmlformats.org/officeDocument/2006/relationships/hyperlink" Target="http://www.finance-glossary.com/pages/home.htm" TargetMode="External"/><Relationship Id="rId69" Type="http://schemas.openxmlformats.org/officeDocument/2006/relationships/hyperlink" Target="http://www.findarticles.com/PI/index.jhtml" TargetMode="External"/><Relationship Id="rId8" Type="http://schemas.openxmlformats.org/officeDocument/2006/relationships/hyperlink" Target="http://www2.aaahq.org/ascLogin.cfm" TargetMode="External"/><Relationship Id="rId51" Type="http://schemas.openxmlformats.org/officeDocument/2006/relationships/hyperlink" Target="http://www.aicpa.org/pubs/jofa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pwc.com/us/en/cfodirect/accounting-podcast/accounting-for-pension-plans.html" TargetMode="External"/><Relationship Id="rId17" Type="http://schemas.openxmlformats.org/officeDocument/2006/relationships/hyperlink" Target="https://frv.kpmg.us/content/dam/frv/en/pdfs/2020/accounting-for-income-taxes.pdf" TargetMode="External"/><Relationship Id="rId25" Type="http://schemas.openxmlformats.org/officeDocument/2006/relationships/hyperlink" Target="https://www.ey.com/en_us/assurance/accountinglink/financial-reporting-developments---derivatives-and-hedging--afte" TargetMode="External"/><Relationship Id="rId33" Type="http://schemas.openxmlformats.org/officeDocument/2006/relationships/hyperlink" Target="https://www.jamesrpeterson.com/home/accounting_principles_and_standards/" TargetMode="External"/><Relationship Id="rId38" Type="http://schemas.openxmlformats.org/officeDocument/2006/relationships/hyperlink" Target="https://www.stitcher.com/podcast/accounting-influencers" TargetMode="External"/><Relationship Id="rId46" Type="http://schemas.openxmlformats.org/officeDocument/2006/relationships/hyperlink" Target="http://www.colegiocpa.com/" TargetMode="External"/><Relationship Id="rId59" Type="http://schemas.openxmlformats.org/officeDocument/2006/relationships/hyperlink" Target="http://www.accountingnet.com/" TargetMode="External"/><Relationship Id="rId67" Type="http://schemas.openxmlformats.org/officeDocument/2006/relationships/hyperlink" Target="http://www.hoovers.com/free/" TargetMode="External"/><Relationship Id="rId20" Type="http://schemas.openxmlformats.org/officeDocument/2006/relationships/hyperlink" Target="https://www2.deloitte.com/content/dam/Deloitte/us/Documents/audit/us-aers-applying-the-new-lease-accounting-standard.pdf" TargetMode="External"/><Relationship Id="rId41" Type="http://schemas.openxmlformats.org/officeDocument/2006/relationships/hyperlink" Target="https://www.stitcher.com/podcast/the-cpa-guide-podcast" TargetMode="External"/><Relationship Id="rId54" Type="http://schemas.openxmlformats.org/officeDocument/2006/relationships/hyperlink" Target="http://www.cpa-exam.org/" TargetMode="External"/><Relationship Id="rId62" Type="http://schemas.openxmlformats.org/officeDocument/2006/relationships/hyperlink" Target="http://www.finance-glossary.com/pages/home.htm" TargetMode="External"/><Relationship Id="rId70" Type="http://schemas.openxmlformats.org/officeDocument/2006/relationships/hyperlink" Target="http://finance.yahoo.com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rv.kpmg.us/content/dam/frv/en/pdfs/2017/revenue-recognition-handbook.pdf" TargetMode="External"/><Relationship Id="rId23" Type="http://schemas.openxmlformats.org/officeDocument/2006/relationships/hyperlink" Target="https://www2.deloitte.com/content/dam/Deloitte/ie/Documents/FinancialServices/investmentmanagement/IE_2016_Introduction%20to%20Derivative%20Instruments_Part1.pdf" TargetMode="External"/><Relationship Id="rId28" Type="http://schemas.openxmlformats.org/officeDocument/2006/relationships/hyperlink" Target="https://biblioteca.uprrp.edu:2074/10.33423/jaf.v19i8.2616" TargetMode="External"/><Relationship Id="rId36" Type="http://schemas.openxmlformats.org/officeDocument/2006/relationships/hyperlink" Target="https://www.stitcher.com/podcast/accounting-best-practices-with-steve-bragg" TargetMode="External"/><Relationship Id="rId49" Type="http://schemas.openxmlformats.org/officeDocument/2006/relationships/hyperlink" Target="http://www.fasb.org/" TargetMode="External"/><Relationship Id="rId57" Type="http://schemas.openxmlformats.org/officeDocument/2006/relationships/hyperlink" Target="http://www.cpa-exam.org/" TargetMode="External"/><Relationship Id="rId10" Type="http://schemas.openxmlformats.org/officeDocument/2006/relationships/hyperlink" Target="http://www.cpajournal.com" TargetMode="External"/><Relationship Id="rId31" Type="http://schemas.openxmlformats.org/officeDocument/2006/relationships/hyperlink" Target="https://biblioteca.uprrp.edu:2074/10.1111/1911-3846.12458" TargetMode="External"/><Relationship Id="rId44" Type="http://schemas.openxmlformats.org/officeDocument/2006/relationships/hyperlink" Target="http://www.aicpa.org/about/code/index.htm" TargetMode="External"/><Relationship Id="rId52" Type="http://schemas.openxmlformats.org/officeDocument/2006/relationships/hyperlink" Target="http://www.nasba.org/nasbaweb.nsf/nasbahome" TargetMode="External"/><Relationship Id="rId60" Type="http://schemas.openxmlformats.org/officeDocument/2006/relationships/hyperlink" Target="http://www.sec.gov/" TargetMode="External"/><Relationship Id="rId65" Type="http://schemas.openxmlformats.org/officeDocument/2006/relationships/hyperlink" Target="http://www.finance-glossary.com/pages/home.htm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journalofaccountancy.com" TargetMode="External"/><Relationship Id="rId13" Type="http://schemas.openxmlformats.org/officeDocument/2006/relationships/hyperlink" Target="https://dart.deloitte.com/USDART/ov-resource/8241a203-a4b3-11e7-bf31-d9d01b34306d.pdf" TargetMode="External"/><Relationship Id="rId18" Type="http://schemas.openxmlformats.org/officeDocument/2006/relationships/hyperlink" Target="https://www.ey.com/en_us/assurance/accountinglink/financial-reporting-developments---income-taxes-" TargetMode="External"/><Relationship Id="rId39" Type="http://schemas.openxmlformats.org/officeDocument/2006/relationships/hyperlink" Target="https://big4accountingfirms.com/" TargetMode="External"/><Relationship Id="rId34" Type="http://schemas.openxmlformats.org/officeDocument/2006/relationships/hyperlink" Target="http://accountingonion.com/" TargetMode="External"/><Relationship Id="rId50" Type="http://schemas.openxmlformats.org/officeDocument/2006/relationships/hyperlink" Target="http://www.aicpa.org/pubs/jofa" TargetMode="External"/><Relationship Id="rId55" Type="http://schemas.openxmlformats.org/officeDocument/2006/relationships/hyperlink" Target="http://www.cpa-exam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inance.yaho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0606-7097-4C98-9657-BD94F87F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2020-06-14T21:22:00Z</dcterms:created>
  <dcterms:modified xsi:type="dcterms:W3CDTF">2020-06-14T21:22:00Z</dcterms:modified>
</cp:coreProperties>
</file>